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Benchmark decisions and estimands.</w:t>
      </w:r>
      <w:r>
        <w:rPr>
          <w:rFonts w:ascii="Times New Roman" w:hAnsi="Times New Roman" w:eastAsia="Times New Roman" w:cs="Times New Roman"/>
          <w:color w:val="000000"/>
          <w:sz w:val="20"/>
        </w:rPr>
        <w:t xml:space="preserve"> (A) Each method operates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retained PLOS plots that follow are historical Hill terminal-rule and map-error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 from the existing figure builders. They are not the C1 R5-versus-R10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or the C3 certified-volume contrast in Table 1.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2. Historical supporting evidence: Rule A versus Rule P on identical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), not the C1 R5-versus-R10 contrast.** (A) Mean simple regret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under measured-selection Rule A and common-GP model-recommendation Rule P for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method). (B) Paired Rule P minus Rule A differences with 95% paired-bootstrap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intervals; negative values favor Rule P. SPADE shows the largest reduction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-0.0543</w:t>
      </w:r>
      <w:r>
        <w:rPr>
          <w:rFonts w:ascii="Times New Roman" w:hAnsi="Times New Roman" w:eastAsia="Times New Roman" w:cs="Times New Roman"/>
          <w:color w:val="000000"/>
          <w:sz w:val="24"/>
        </w:rPr>
        <w:t>), whereas the classical design increases regret (</w:t>
      </w:r>
      <w:r>
        <w:rPr>
          <w:rFonts w:ascii="Courier New" w:hAnsi="Courier New" w:eastAsia="Courier New" w:cs="Courier New"/>
          <w:color w:val="000000"/>
          <w:sz w:val="22"/>
        </w:rPr>
        <w:t>+0.1035</w:t>
      </w:r>
      <w:r>
        <w:rPr>
          <w:rFonts w:ascii="Times New Roman" w:hAnsi="Times New Roman" w:eastAsia="Times New Roman" w:cs="Times New Roman"/>
          <w:color w:val="000000"/>
          <w:sz w:val="24"/>
        </w:rPr>
        <w:t>) under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shared GP readout. (C) For compatible arms, Rule-A regret is decomposed into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 loss and identification loss. The ±0.02 smallest-effect band is not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plot; it belongs to the map-error contrasts below.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3. Historical supporting evidence: registered-target map error versus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regret, not matched-round certified volume.** (A) Registered Hill-target means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and Rule-P simple regret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landscape-level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 per method); lower is better on both axes. (B) Paired SPADE-minus-comparator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with 95% intervals and the prespecified ±0.02 smallest effect size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interest (shaded band). SPADE has lower map error than Sobol (</w:t>
      </w:r>
      <w:r>
        <w:rPr>
          <w:rFonts w:ascii="Courier New" w:hAnsi="Courier New" w:eastAsia="Courier New" w:cs="Courier New"/>
          <w:color w:val="000000"/>
          <w:sz w:val="22"/>
        </w:rPr>
        <w:t>-0.0109</w:t>
      </w:r>
      <w:r>
        <w:rPr>
          <w:rFonts w:ascii="Times New Roman" w:hAnsi="Times New Roman" w:eastAsia="Times New Roman" w:cs="Times New Roman"/>
          <w:color w:val="000000"/>
          <w:sz w:val="24"/>
        </w:rPr>
        <w:t>)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(</w:t>
      </w:r>
      <w:r>
        <w:rPr>
          <w:rFonts w:ascii="Courier New" w:hAnsi="Courier New" w:eastAsia="Courier New" w:cs="Courier New"/>
          <w:color w:val="000000"/>
          <w:sz w:val="22"/>
        </w:rPr>
        <w:t>-0.0327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Rule-P regret is </w:t>
      </w:r>
      <w:r>
        <w:rPr>
          <w:rFonts w:ascii="Courier New" w:hAnsi="Courier New" w:eastAsia="Courier New" w:cs="Courier New"/>
          <w:color w:val="000000"/>
          <w:sz w:val="22"/>
        </w:rPr>
        <w:t>+0.0094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relative to qLogNEI.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(C) Every equal-budget method consumes 48 wells, but feedback ranges from one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 rounds. (D) Hartmann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robustness values are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means; intervals are unavailable. This plot is archived map-and-cost evidence,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4. Historical supporting evidence: calibration, posterior self-consistency,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answer-rate summaries, not C3 certified volume.** (A) Retrospective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 error and refinement are descriptive summaries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200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repeated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 cells per method). (B) Prospective Hill fractions of non-empty campaigns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meeting the held-out posterior check, minus </w:t>
      </w:r>
      <m:oMath>
        <m:box>
          <m:e>
            <m:r>
              <m:rPr>
                <m:sty m:val="i"/>
              </m:rPr>
              <m:t>α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; this is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self-consistency, not empirical containment against the oracle. Original 95%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intervals do not adjust for repeated Hill instances. (C) In the separate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retrospective five-family study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0.95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campaigns returning any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non-empty certificate were 0/50 for Ackley, 11/50 for Hartmann6, 50/50 for Hill,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49/50 for Levy, and 50/50 for Rosenbrock; zero denotes refusal to certify.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(D) Conditional containment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0.80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pools dependent non-empty cells.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archived certificate displays are 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four retained PLOS figures are the only figure files cited here. Figures 2–4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historical or supporting Hill terminal-rule, map-error, and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displays; they are not C3 certified-volume evidence. That comparison remains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terminal-rule display: measured-selection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Rule A versus common-GP Rule P on the 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 method), including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search-versus-identification decomposition. This table supports the Rule A/Rule 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plot, not the C1 R5-versus-R10 regret contrast.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registered-target map-error display: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versus Rule-P simple regret, paired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SPADE-minus-Sobol and SPADE-minus-qLogNEI map contrasts with the ±0.02 shaded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smallest-effect band, equal-well round costs, and descriptive Hartmann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</w:t>
      </w:r>
    </w:p>
    <w:p>
      <w:pPr>
        <w:widowControl/>
      </w:pP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robustness means. This table is not a matched-round certified-volume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Source rows for the historical calibration and certificate display: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Hill calibration/refinement cells, prospective Hill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 checks (not empirical containment against the oracle),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five-family answer-rate versus conditional-containment summaries. These archived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certificate checks do not replace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