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40" w:line="240" w:lineRule="auto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SPADE improves operating-region decisions under fixed experimental budgets: a synthetic comparison with Bayesian optimization and response-surface design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Short title: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Fixed-budget operating-region decisions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Authors: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Kwan¹*, Joseph Yung²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Affiliations: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¹ Department of Chemical Engineering, Columbia University, New York, New York, United States of America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² Department of Industrial Engineering and Operations Research, Columbia University, New York, New York, United States of America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Corresponding author: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Kwan¹ (11281128alana@gmail.com)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Author emails: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Kwan, 11281128alana@gmail.com; Joseph Yung, josephyung33@gmail.com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Abstract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 experimental campaign may need one optimized recipe or a conservative operating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region; these are different decisions. We evaluated SPADE, an assay-oriented integration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of established Gaussian-process level-set and conservative-set methods, against noisy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Bayesian optimization (qLogNEI) and a response-surface design of experiments (DoE)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synthetic families under 48-well budgets. Primary matched-round evidence came first: 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five rounds, SPADE returned greater certified volume than qLogNEI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+0.000855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95% CI </w:t>
      </w:r>
      <w:r>
        <w:rPr>
          <w:rFonts w:ascii="Courier New" w:hAnsi="Courier New" w:eastAsia="Courier New" w:cs="Courier New"/>
          <w:color w:val="000000"/>
          <w:sz w:val="22"/>
        </w:rPr>
        <w:t>[+0.000691,+0.001028]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n=320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dependent family-seed-prevalence cells under leave-one-family-out calibration). Thus SPADE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better for the tested operating-region decision, not universally better. In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one-process point comparison, five-round SPADE showed no detectable regret difference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from ten-round qLogNEI (</w:t>
      </w:r>
      <w:r>
        <w:rPr>
          <w:rFonts w:ascii="Courier New" w:hAnsi="Courier New" w:eastAsia="Courier New" w:cs="Courier New"/>
          <w:color w:val="000000"/>
          <w:sz w:val="22"/>
        </w:rPr>
        <w:t>-0.0005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95% CI </w:t>
      </w:r>
      <w:r>
        <w:rPr>
          <w:rFonts w:ascii="Courier New" w:hAnsi="Courier New" w:eastAsia="Courier New" w:cs="Courier New"/>
          <w:color w:val="000000"/>
          <w:sz w:val="22"/>
        </w:rPr>
        <w:t>[-0.0221,+0.0207]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p=0.96</w:t>
      </w:r>
      <w:r>
        <w:rPr>
          <w:rFonts w:ascii="Times New Roman" w:hAnsi="Times New Roman" w:eastAsia="Times New Roman" w:cs="Times New Roman"/>
          <w:color w:val="000000"/>
          <w:sz w:val="24"/>
        </w:rPr>
        <w:t>;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), but the interval did not establish equivalence. The adverse DoE result was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substantial: screened three-round DoE found the better point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+0.1026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SPADE-minus-DoE regret, 95% CI </w:t>
      </w:r>
      <w:r>
        <w:rPr>
          <w:rFonts w:ascii="Courier New" w:hAnsi="Courier New" w:eastAsia="Courier New" w:cs="Courier New"/>
          <w:color w:val="000000"/>
          <w:sz w:val="22"/>
        </w:rPr>
        <w:t>[+0.0486,+0.1578]</w:t>
      </w:r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p=0.0003</w:t>
      </w:r>
      <w:r>
        <w:rPr>
          <w:rFonts w:ascii="Times New Roman" w:hAnsi="Times New Roman" w:eastAsia="Times New Roman" w:cs="Times New Roman"/>
          <w:color w:val="000000"/>
          <w:sz w:val="24"/>
        </w:rPr>
        <w:t>), while five-round SPADE answered 66/160 regional decisions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contained truth in 66/66, compared with 85/122 and 77/134 contained answers for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screened and unscreened DoE. Flat-cell intervals are conditional and dependence may make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them too narrow. Results are limited to the tested synthetic benchmark, moderate noise,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finite grids, and calibration rules; they do not establish regulatory qualification 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prospective wet-lab performance.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Introduction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Cell-culture media, extracellular-matrix composition, and bioprocess parameters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chosen jointly, so even a modest factor grid can exceed a practical assay budget.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Classical response-surface methodology provides screening, sequential movement,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low-order local modelling [1–3]. Bayesian optimization (BO) instead fits a probabilistic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surrogate and allocates observations to improve an objective [4–6]. Both approaches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used in biological and bioprocess development [7–12].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decision made after sampling matters as much as the sampling rule. One laboratory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need a single carry-forward recipe, appropriately scored by point regret. Another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need an operating region: a set of compositions expected to exceed a specification,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with an explicit option to abstain when the evidence is insufficient. A method can find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strong point while learning little about the surrounding region, or map a region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without finding the global optimum. Point regret, map error, answer rate, empirical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truth containment, and certified volume are therefore distinct estimands.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 estimation is not new. Gaussian-process (GP) level-set classification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boundary-focused batch sampling are established [13], as are conservative excursion-set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estimators based on posterior inclusion [14] and methods such as TruVaR that connect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optimization with level-set learning [15]. qLogNEI is a modern noisy expected-improvement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 [16]. Proper scoring separates probabilistic forecasts from downstream decisions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[17], while BoTorch supplies established computational components [18]. Recent synthetic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batch-BO work further shows that noise and geometry can alter rankings [19], and good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simulation-study practice requires explicit estimands and data-generating scope [20].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is an assay-oriented architecture built from these established ingredients, not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new excursion-set theory. It combines a space-filling opening, adaptive high-response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sampling, a common posterior conservative-set estimator that can also score comparator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observations, and abstention. Its acquisition should not be described as successfully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threshold-targeted: a registered target-aligned variant failed its adoption gate.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scientific question is instead whether this architecture improves the tested regional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decision while honestly retaining point-optimization trade-offs.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 report six linked findings. C3 asks whether matched five-round SPADE returns greater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certified volume than qLogNEI. C1 asks whether five-round SPADE differs detectably from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ten-round qLogNEI on point regret. C2 compares regional containment and point regret with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screened and one unscreened response-surface DoE pipeline. C5 and C6 examine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family/prevalence scope. S2 and S3 diagnose real-data posterior collapse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assay-specific calibration. Finally, S1, a real-noise ceiling, and a later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development gate define where positive interpretation must stop.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Materials and methods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Study design and evidence roles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confirmatory DC and LC programs used five synthetic response families—Ackley,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Hartmann6, biphasic Hill, Levy, and Rosenbrock—32 deterministic seeds per family,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six normalized factors, 48 measured wells, and relative observation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TAU used 64 seeds per family. Hill varied by registered instance; other evaluators used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fixed landscapes with design and noise varying by seed. Known latent truth was used only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synthetic scoring. These landscapes are structural test functions, not fits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endothelial-cell measurements.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latent normalized response </w:t>
      </w:r>
      <m:oMath>
        <m:box>
          <m:e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on </w:t>
      </w:r>
      <m:oMath>
        <m:box>
          <m:e>
            <m:r>
              <m:rPr>
                <m:sty m:val="i"/>
              </m:rP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6</m:t>
                </m:r>
              </m:sup>
            </m:sSup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, the threshold </w:t>
      </w:r>
      <m:oMath>
        <m:box>
          <m:e>
            <m:r>
              <m:rPr>
                <m:sty m:val="i"/>
              </m:rPr>
              <m:t>τ</m:t>
            </m:r>
          </m:e>
        </m:box>
      </m:oMath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the instance-specific truth quantile that produced the registered target prevalence</w:t>
      </w:r>
    </w:p>
    <w:p>
      <w:pPr>
        <w:widowControl/>
      </w:pP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The acceptable region was</w:t>
      </w:r>
    </w:p>
    <w:p>
      <w:pPr>
        <w:widowControl/>
      </w:pPr>
      <m:oMath>
        <m:box>
          <m:e>
            <m:sSub>
              <m:e>
                <m:r>
                  <m:rPr>
                    <m:sty m:val="i"/>
                  </m:rPr>
                  <m:t>Γ</m:t>
                </m:r>
              </m:e>
              <m:sub>
                <m:r>
                  <m:rPr>
                    <m:sty m:val="i"/>
                  </m:rPr>
                  <m:t>τ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i"/>
              </m:rPr>
              <m:t>x</m:t>
            </m:r>
            <m:r>
              <m:rPr>
                <m:sty m:val="i"/>
              </m:rPr>
              <m:t>: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rPr>
                <m:sty m:val="i"/>
              </m:rPr>
              <m:t>τ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Thresholds were computed on a 20,000-point Sobol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truth grid with seed 0. A 2,000-point Sobol certificate-candidate and scoring subset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 the same seed was used for posterior-region construction and truth-containment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scoring. Each certificate used 4,096 joint posterior draws and 64 nested Vorob'ev levels.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DC supplied the one-process point comparison (C1) and DoE comparison (C2). LC supplied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leave-one-family-out matched-round comparison (C3). TAU supplied the prevalence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margin-to-noise analyses (C5/C6). TT tested the proposed targeting mechanism (S1).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 in-house and published Hall–Ogle data supplied supporting uncertainty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diagnostics (S2/S3), not prospective validation.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All synthetic arms used 48 wells. SPADE R3 used </w:t>
      </w:r>
      <w:r>
        <w:rPr>
          <w:rFonts w:ascii="Courier New" w:hAnsi="Courier New" w:eastAsia="Courier New" w:cs="Courier New"/>
          <w:color w:val="000000"/>
          <w:sz w:val="22"/>
        </w:rPr>
        <w:t>32+8+8</w:t>
      </w:r>
      <w:r>
        <w:rPr>
          <w:rFonts w:ascii="Times New Roman" w:hAnsi="Times New Roman" w:eastAsia="Times New Roman" w:cs="Times New Roman"/>
          <w:color w:val="000000"/>
          <w:sz w:val="24"/>
        </w:rPr>
        <w:t>; SPADE R5 used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16+8+8+8+8</w:t>
      </w:r>
      <w:r>
        <w:rPr>
          <w:rFonts w:ascii="Times New Roman" w:hAnsi="Times New Roman" w:eastAsia="Times New Roman" w:cs="Times New Roman"/>
          <w:color w:val="000000"/>
          <w:sz w:val="24"/>
        </w:rPr>
        <w:t>. Matched qLogNEI R3 and R5 used the same respective allocations.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R10 used a 14-point Sobol opening, eight batches of four, and a final batch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of two (</w:t>
      </w:r>
      <w:r>
        <w:rPr>
          <w:rFonts w:ascii="Courier New" w:hAnsi="Courier New" w:eastAsia="Courier New" w:cs="Courier New"/>
          <w:color w:val="000000"/>
          <w:sz w:val="22"/>
        </w:rPr>
        <w:t>14+4+4+4+4+4+4+4+4+2</w:t>
      </w:r>
      <w:r>
        <w:rPr>
          <w:rFonts w:ascii="Times New Roman" w:hAnsi="Times New Roman" w:eastAsia="Times New Roman" w:cs="Times New Roman"/>
          <w:color w:val="000000"/>
          <w:sz w:val="24"/>
        </w:rPr>
        <w:t>). The screened DoE R3 workflow used a 20-run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six-factor screen, a 27-run four-factor face-centred response-surface design, and one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confirmation well (</w:t>
      </w:r>
      <w:r>
        <w:rPr>
          <w:rFonts w:ascii="Courier New" w:hAnsi="Courier New" w:eastAsia="Courier New" w:cs="Courier New"/>
          <w:color w:val="000000"/>
          <w:sz w:val="22"/>
        </w:rPr>
        <w:t>20+27+1</w:t>
      </w:r>
      <w:r>
        <w:rPr>
          <w:rFonts w:ascii="Times New Roman" w:hAnsi="Times New Roman" w:eastAsia="Times New Roman" w:cs="Times New Roman"/>
          <w:color w:val="000000"/>
          <w:sz w:val="24"/>
        </w:rPr>
        <w:t>). The registered unscreened comparator omitted screening,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used one 47-run full-dimensional face-centred central-composite design, and measured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confirmation (</w:t>
      </w:r>
      <w:r>
        <w:rPr>
          <w:rFonts w:ascii="Courier New" w:hAnsi="Courier New" w:eastAsia="Courier New" w:cs="Courier New"/>
          <w:color w:val="000000"/>
          <w:sz w:val="22"/>
        </w:rPr>
        <w:t>47+1</w:t>
      </w:r>
      <w:r>
        <w:rPr>
          <w:rFonts w:ascii="Times New Roman" w:hAnsi="Times New Roman" w:eastAsia="Times New Roman" w:cs="Times New Roman"/>
          <w:color w:val="000000"/>
          <w:sz w:val="24"/>
        </w:rPr>
        <w:t>); it retained the protocol's DoE R3 comparator label even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though its executed measurements comprise design and confirmation stages. Equal wells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therefore did not mean equal sequential rounds.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489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89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1. Benchmark decisions and estimands.</w:t>
      </w:r>
      <w:r>
        <w:rPr>
          <w:rFonts w:ascii="Times New Roman" w:hAnsi="Times New Roman" w:eastAsia="Times New Roman" w:cs="Times New Roman"/>
          <w:color w:val="000000"/>
          <w:sz w:val="20"/>
        </w:rPr>
        <w:t xml:space="preserve"> (A) Each method operates within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48-well campaign. (B) The same sampled campaign supports a point decision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or a region decision, including abstention. (C) The estimand ledger distinguishes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reported object, observability, score, extra wells, and rounds for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deliverable. This schematic defines the benchmark and contains no performance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architecture and comparators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Observations followed</w:t>
      </w:r>
    </w:p>
    <w:p>
      <w:pPr>
        <w:widowControl/>
      </w:pPr>
      <m:oMath>
        <m:box>
          <m:e>
            <m:r>
              <m:rPr>
                <m:sty m:val="i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ϵ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η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with</w:t>
      </w:r>
    </w:p>
    <w:p>
      <w:pPr>
        <w:widowControl/>
      </w:pPr>
      <m:oMath>
        <m:box>
          <m:e>
            <m:r>
              <m:rPr>
                <m:sty m:val="i"/>
              </m:rPr>
              <m:t>ϵ</m:t>
            </m:r>
            <m:r>
              <m:rPr>
                <m:sty m:val="i"/>
              </m:rPr>
              <m:t>~</m:t>
            </m:r>
            <m:r>
              <m:rPr>
                <m:scr m:val="script"/>
                <m:sty m:val="i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m:oMath>
        <m:box>
          <m:e>
            <m:sSub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0.25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and</w:t>
      </w:r>
    </w:p>
    <w:p>
      <w:pPr>
        <w:widowControl/>
      </w:pPr>
      <m:oMath>
        <m:box>
          <m:e>
            <m:r>
              <m:rPr>
                <m:sty m:val="i"/>
              </m:rPr>
              <m:t>η</m:t>
            </m:r>
            <m:r>
              <m:rPr>
                <m:sty m:val="i"/>
              </m:rPr>
              <m:t>~</m:t>
            </m:r>
            <m:r>
              <m:rPr>
                <m:scr m:val="script"/>
                <m:sty m:val="i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SPADE and qLogNEI supplied the GP with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raw-unit plug-in variance</w:t>
      </w:r>
    </w:p>
    <w:p>
      <w:pPr>
        <w:widowControl/>
      </w:pPr>
      <m:oMath>
        <m:box>
          <m:e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i"/>
                  </m:rP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computed from the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value rather than latent truth. The DoE adapters lacked per-well variances and used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their registered arm-constant plug-in</w:t>
      </w:r>
    </w:p>
    <w:p>
      <w:pPr>
        <w:widowControl/>
      </w:pPr>
      <m:oMath>
        <m:box>
          <m:e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sSup>
              <m:e>
                <m:limUpp>
                  <m:e>
                    <m:box>
                      <m:e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i"/>
                          </m:rP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</m:e>
                    </m:box>
                  </m:e>
                  <m:lim>
                    <m:r>
                      <m:rPr>
                        <m:sty m:val="p"/>
                      </m:rPr>
                      <m:t>―</m:t>
                    </m:r>
                  </m:lim>
                </m:limUpp>
              </m:e>
              <m:sup>
                <m:r>
                  <m:rPr>
                    <m:sty m:val="p"/>
                  </m:rPr>
                  <m:t>2</m:t>
                </m:r>
              </m:sup>
            </m:sSup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common outcome model was a fixed-noise </w:t>
      </w:r>
      <w:r>
        <w:rPr>
          <w:rFonts w:ascii="Courier New" w:hAnsi="Courier New" w:eastAsia="Courier New" w:cs="Courier New"/>
          <w:color w:val="000000"/>
          <w:sz w:val="22"/>
        </w:rPr>
        <w:t>SingleTaskGP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 explicit unit-box input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normalization, standardized outcomes, a fitted constant mean, and a scaled Matérn-5/2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kernel with automatic relevance determination and a dimension-scaled length-scale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prior. Hyperparameters were fitted by exact marginal likelihood. SPADE began with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Sobol space-filling opening, refitted after every later batch, and used its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conservative-set straddle implementation for adaptive high-response sampling.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implemented historical acquisition is retained because the target-aligned replacement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did not demonstrate improvement or earn adoption and worsened regret; no claim here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attributes the results to successful threshold targeting.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posterior draw </w:t>
      </w:r>
      <m:oMath>
        <m:box>
          <m:e>
            <m:r>
              <m:rPr>
                <m:sty m:val="i"/>
              </m:rPr>
              <m:t>b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the finite-grid excursion set was</w:t>
      </w:r>
    </w:p>
    <w:p>
      <w:pPr>
        <w:widowControl/>
      </w:pPr>
      <m:oMath>
        <m:box>
          <m:e>
            <m:sSubSup>
              <m:e>
                <m:r>
                  <m:rPr>
                    <m:sty m:val="i"/>
                  </m:rPr>
                  <m:t>Γ</m:t>
                </m:r>
              </m:e>
              <m:sub>
                <m:r>
                  <m:rPr>
                    <m:sty m:val="i"/>
                  </m:rPr>
                  <m:t>τ</m:t>
                </m:r>
              </m:sub>
              <m:sup>
                <m:box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sup>
            </m:sSubSup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i"/>
              </m:rPr>
              <m:t>x</m:t>
            </m:r>
            <m:r>
              <m:rPr>
                <m:sty m:val="i"/>
              </m:rPr>
              <m:t>:</m:t>
            </m:r>
            <m:sSup>
              <m:e>
                <m:r>
                  <m:rPr>
                    <m:sty m:val="i"/>
                  </m:rPr>
                  <m:t>f</m:t>
                </m:r>
              </m:e>
              <m:sup>
                <m:box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sup>
            </m:sSup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rPr>
                <m:sty m:val="i"/>
              </m:rPr>
              <m:t>τ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on the 2,000-point scoring grid.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4,096 draws formed a coverage function and 64 nested Vorob'ev candidates. For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inflation </w:t>
      </w:r>
      <m:oMath>
        <m:box>
          <m:e>
            <m:r>
              <m:rPr>
                <m:sty m:val="i"/>
              </m:rPr>
              <m:t>c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1.0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2.0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3.0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the common downstream estimator returned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largest scanned candidate whose same-draw Monte Carlo posterior joint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reached </w:t>
      </w:r>
      <w:r>
        <w:rPr>
          <w:rFonts w:ascii="Courier New" w:hAnsi="Courier New" w:eastAsia="Courier New" w:cs="Courier New"/>
          <w:color w:val="000000"/>
          <w:sz w:val="22"/>
        </w:rPr>
        <w:t>alpha=0.95</w:t>
      </w:r>
      <w:r>
        <w:rPr>
          <w:rFonts w:ascii="Times New Roman" w:hAnsi="Times New Roman" w:eastAsia="Times New Roman" w:cs="Times New Roman"/>
          <w:color w:val="000000"/>
          <w:sz w:val="24"/>
        </w:rPr>
        <w:t>. “Largest” means largest in that finite nested family, not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global optimum over all continuous subsets. If no non-empty candidate passed,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procedure abstained.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used the same GP outcome model and well budget while allocating batches by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noisy expected improvement. Its observations were passed through the common posterior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conservative-set estimator; regional certificates are therefore common post-processing,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not an intrinsic qLogNEI output. Screened DoE used a 20-run six-factor screen, a 27-run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face-centred response-surface design in four factors, and one confirmation well.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unscreened arm retained the low-order workflow without screening. These implementations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do not represent all BO or classical-design methods.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Outcomes and calibration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terminal point recommendation was the visited condition with the largest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response; it was then scored by latent truth. Because each family was normalized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optimum one, simple regret was </w:t>
      </w:r>
      <m:oMath>
        <m:box>
          <m:e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limUpp>
              <m:e>
                <m:r>
                  <m:rPr>
                    <m:sty m:val="i"/>
                  </m:rPr>
                  <m:t>x</m:t>
                </m:r>
              </m:e>
              <m:lim>
                <m:r>
                  <m:rPr>
                    <m:sty m:val="p"/>
                  </m:rPr>
                  <m:t>^</m:t>
                </m:r>
              </m:lim>
            </m:limUp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This prevents crediting a method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visiting a strong point that its noisy observations did not identify.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regional </w:t>
      </w:r>
      <w:r>
        <w:rPr>
          <w:rFonts w:ascii="Courier New" w:hAnsi="Courier New" w:eastAsia="Courier New" w:cs="Courier New"/>
          <w:color w:val="000000"/>
          <w:sz w:val="22"/>
        </w:rPr>
        <w:t>answered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outcome was a non-empty returned conservative set. </w:t>
      </w:r>
      <w:r>
        <w:rPr>
          <w:rFonts w:ascii="Courier New" w:hAnsi="Courier New" w:eastAsia="Courier New" w:cs="Courier New"/>
          <w:color w:val="000000"/>
          <w:sz w:val="22"/>
        </w:rPr>
        <w:t>contained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recorded whether an answered set was a subset of the known synthetic acceptable region;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answer rate was answered divided by eligible cells, conditional empirical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contained divided by answered, and certified volume was the returned fraction of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2,000-point scoring grid. Abstention was not counted as containment. The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cross-cell gate required a one-sided 95% Clopper–Pearson lower bound of at least 0.90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among answered cells and answer rate of at least 0.05.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C3 selected the smallest posterior inflation </w:t>
      </w:r>
      <w:r>
        <w:rPr>
          <w:rFonts w:ascii="Courier New" w:hAnsi="Courier New" w:eastAsia="Courier New" w:cs="Courier New"/>
          <w:color w:val="000000"/>
          <w:sz w:val="22"/>
        </w:rPr>
        <w:t>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that passed the registered rule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four families and evaluated volume on the held-out fifth family. It pooled prevalence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0.30 and 0.10, yielding five families x 32 seeds x two prevalences = 320 dependent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family-seed-prevalence cells. C2 used a weaker procedure: SPADE selected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DC cells themselves. Neither DoE arm passed at any tested inflation, so its reported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counts are fallback diagnostics at baseline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>. C2 is within-sample and not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transportable; it is not the held-out-family calibration used for C3.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Earlier prospective map scoring used a fixed 0.50 cutoff. Its archived certificate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count is a posterior self-consistency check, not empirical containment against the oracle.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retrospective terminal-rule comparison also used a common GP for all arms: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20,000-point screen, twenty restarts and 4,096 raw starts. Earlier quadratic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response-surface diagnostics are separate and are not substituted for that recommender.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Statistical analysis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Contrasts were paired by family and seed or by family, seed, and prevalence. Frozen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analysers used 8,000 ordinary nonparametric resamples of flat contrast rows, percentile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intervals, and two-sided bootstrap tail-area proportions relative to zero.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flat-cell bootstrap treats cells as exchangeable. Because rows can share families,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landscapes, seeds, prevalences, and campaigns, its intervals are conditional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summaries and may be too narrow under dependence; cells are not independent campaigns.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Pooled Clopper–Pearson bounds similarly assume an ordinary binomial model.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regret smallest effect of interest was 0.02. An interval extending beyond that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boundary was not interpreted as equivalence. The C5 Spearman coefficient is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over 25 nested, nonexchangeable family-prevalence cells; no naive independence-based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p-value is interpreted.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Reproducibility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Analyses used Python 3.11 with PyTorch, GPyTorch, BoTorch, NumPy, SciPy, pandas,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scikit-learn. Frozen inputs, producing commands, exact estimates, guard coverage,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limitations are indexed in </w:t>
      </w:r>
      <w:r>
        <w:rPr>
          <w:rFonts w:ascii="Courier New" w:hAnsi="Courier New" w:eastAsia="Courier New" w:cs="Courier New"/>
          <w:color w:val="000000"/>
          <w:sz w:val="22"/>
        </w:rPr>
        <w:t>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>. The active PLOS source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remains in this repository. Consolidated C1–C6/S1 provenance is pinned to repository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commit </w:t>
      </w:r>
      <w:r>
        <w:rPr>
          <w:rFonts w:ascii="Courier New" w:hAnsi="Courier New" w:eastAsia="Courier New" w:cs="Courier New"/>
          <w:color w:val="000000"/>
          <w:sz w:val="22"/>
        </w:rPr>
        <w:t>ec14bc7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the ledger gives portable </w:t>
      </w:r>
      <w:r>
        <w:rPr>
          <w:rFonts w:ascii="Courier New" w:hAnsi="Courier New" w:eastAsia="Courier New" w:cs="Courier New"/>
          <w:color w:val="000000"/>
          <w:sz w:val="22"/>
        </w:rPr>
        <w:t>git 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detached-worktree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instructions. No frozen result was changed for this rewrite.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Artificial intelligence assistance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OpenAI Codex (GPT-based coding assistant) assisted with manuscript drafting and revision,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source-code inspection, figure-generation scripts, and document formatting. The authors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reviewed and edited all AI-assisted text and take responsibility for the scientific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interpretation, references, code, figures, and reported results. No generative AI system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used to create experimental data.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Results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Matched five-round SPADE returned greater certified volume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1 states the local certification dimensions for C3. Under registered LOFO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calibration, five-round SPADE returned greater certified volume than five-round qLogNEI: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SPADE-minus-qLogNEI difference was </w:t>
      </w:r>
      <w:r>
        <w:rPr>
          <w:rFonts w:ascii="Courier New" w:hAnsi="Courier New" w:eastAsia="Courier New" w:cs="Courier New"/>
          <w:color w:val="000000"/>
          <w:sz w:val="22"/>
        </w:rPr>
        <w:t>+0.000855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[+0.000691,+0.001028]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n=320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dependent cells).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is the primary result supporting SPADE for the tested operating-region decision.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It does not establish a universal method ranking. The analogous positive three-round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claim was withdrawn after extension to 32 seeds.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1. C3 matched-round regional comparison.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 w:val="true"/>
        </w:trPr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Prevalence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Noise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Assurance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Calibration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Wells; rounds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Seeds and denominator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Result</w:t>
            </w:r>
          </w:p>
        </w:tc>
      </w:tr>
      <w:tr>
        <w:trPr>
          <w:cantSplit/>
        </w:trPr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synthetic families; SPADE vs qLogNEI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 and 0.10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0.25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0.95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LOFO inflation over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c={1,1.5,2,3}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R5 vs R5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32/family; 320 dependent family-seed-prevalence cells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Volume difference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+0.000855</w:t>
            </w:r>
          </w:p>
        </w:tc>
      </w:tr>
    </w:tbl>
    <w:p>
      <w:pPr>
        <w:spacing w:after="40"/>
      </w:pP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Point regret showed no detectable difference from longer qLogNEI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 DC, SPADE R5 minus qLogNEI R10 regret was </w:t>
      </w:r>
      <w:r>
        <w:rPr>
          <w:rFonts w:ascii="Courier New" w:hAnsi="Courier New" w:eastAsia="Courier New" w:cs="Courier New"/>
          <w:color w:val="000000"/>
          <w:sz w:val="22"/>
        </w:rPr>
        <w:t>-0.0005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[-0.0221,+0.0207]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p=0.96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, five families x 32 seeds).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Both used 48 wells. This is no detectable regret difference, not equivalence: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 extends slightly beyond the registered +/-0.02 effect boundary, and neither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calendar duration nor cost was measured.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retained PLOS plots that follow are historical Hill terminal-rule and map-error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displays from the existing figure builders. They are not the C1 R5-versus-R10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 or the C3 certified-volume contrast in Table 1.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5426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426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color w:val="000000"/>
          <w:sz w:val="20"/>
        </w:rPr>
        <w:t>**Fig 2. Historical supporting evidence: Rule A versus Rule P on identical Hill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campaigns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50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), not the C1 R5-versus-R10 contrast.** (A) Mean simple regret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under measured-selection Rule A and common-GP model-recommendation Rule P for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Hill (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m:oMath>
        <m:box>
          <m:e>
            <m:sSub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0.25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) benchmark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50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paired campaigns per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method). (B) Paired Rule P minus Rule A differences with 95% paired-bootstrap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intervals; negative values favor Rule P. SPADE shows the largest reduction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-0.0543</w:t>
      </w:r>
      <w:r>
        <w:rPr>
          <w:rFonts w:ascii="Times New Roman" w:hAnsi="Times New Roman" w:eastAsia="Times New Roman" w:cs="Times New Roman"/>
          <w:color w:val="000000"/>
          <w:sz w:val="24"/>
        </w:rPr>
        <w:t>), whereas the classical design increases regret (</w:t>
      </w:r>
      <w:r>
        <w:rPr>
          <w:rFonts w:ascii="Courier New" w:hAnsi="Courier New" w:eastAsia="Courier New" w:cs="Courier New"/>
          <w:color w:val="000000"/>
          <w:sz w:val="22"/>
        </w:rPr>
        <w:t>+0.1035</w:t>
      </w:r>
      <w:r>
        <w:rPr>
          <w:rFonts w:ascii="Times New Roman" w:hAnsi="Times New Roman" w:eastAsia="Times New Roman" w:cs="Times New Roman"/>
          <w:color w:val="000000"/>
          <w:sz w:val="24"/>
        </w:rPr>
        <w:t>) under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shared GP readout. (C) For compatible arms, Rule-A regret is decomposed into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search loss and identification loss. The ±0.02 smallest-effect band is not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plot; it belongs to the map-error contrasts below.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5493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493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color w:val="000000"/>
          <w:sz w:val="20"/>
        </w:rPr>
        <w:t>**Fig 3. Historical supporting evidence: registered-target map error versus Rule-P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regret, not matched-round certified volume.** (A) Registered Hill-target means for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symmetric-difference map error and Rule-P simple regret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landscape-level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means per method); lower is better on both axes. (B) Paired SPADE-minus-comparator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contrasts with 95% intervals and the prespecified ±0.02 smallest effect size of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interest (shaded band). SPADE has lower map error than Sobol (</w:t>
      </w:r>
      <w:r>
        <w:rPr>
          <w:rFonts w:ascii="Courier New" w:hAnsi="Courier New" w:eastAsia="Courier New" w:cs="Courier New"/>
          <w:color w:val="000000"/>
          <w:sz w:val="22"/>
        </w:rPr>
        <w:t>-0.0109</w:t>
      </w:r>
      <w:r>
        <w:rPr>
          <w:rFonts w:ascii="Times New Roman" w:hAnsi="Times New Roman" w:eastAsia="Times New Roman" w:cs="Times New Roman"/>
          <w:color w:val="000000"/>
          <w:sz w:val="24"/>
        </w:rPr>
        <w:t>)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(</w:t>
      </w:r>
      <w:r>
        <w:rPr>
          <w:rFonts w:ascii="Courier New" w:hAnsi="Courier New" w:eastAsia="Courier New" w:cs="Courier New"/>
          <w:color w:val="000000"/>
          <w:sz w:val="22"/>
        </w:rPr>
        <w:t>-0.0327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), while Rule-P regret is </w:t>
      </w:r>
      <w:r>
        <w:rPr>
          <w:rFonts w:ascii="Courier New" w:hAnsi="Courier New" w:eastAsia="Courier New" w:cs="Courier New"/>
          <w:color w:val="000000"/>
          <w:sz w:val="22"/>
        </w:rPr>
        <w:t>+0.0094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relative to qLogNEI.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(C) Every equal-budget method consumes 48 wells, but feedback ranges from one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ten rounds. (D) Hartmann (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8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) robustness values are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means; intervals are unavailable. This plot is archived map-and-cost evidence,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not the C3 certified-volume comparison.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DoE found a better point recipe but weaker regional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adverse point result is essential: screened DoE found the better point recipe 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three rounds. SPADE R5 minus screened-DoE R3 regret was </w:t>
      </w:r>
      <w:r>
        <w:rPr>
          <w:rFonts w:ascii="Courier New" w:hAnsi="Courier New" w:eastAsia="Courier New" w:cs="Courier New"/>
          <w:color w:val="000000"/>
          <w:sz w:val="22"/>
        </w:rPr>
        <w:t>+0.1026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[+0.0486,+0.1578]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p=0.0003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). SPADE used five rounds.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Regional evidence moved in the opposite direction (Table 2). At prevalence </w:t>
      </w:r>
      <w:r>
        <w:rPr>
          <w:rFonts w:ascii="Courier New" w:hAnsi="Courier New" w:eastAsia="Courier New" w:cs="Courier New"/>
          <w:color w:val="000000"/>
          <w:sz w:val="22"/>
        </w:rPr>
        <w:t>0.30</w:t>
      </w:r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relative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assurance </w:t>
      </w:r>
      <w:r>
        <w:rPr>
          <w:rFonts w:ascii="Courier New" w:hAnsi="Courier New" w:eastAsia="Courier New" w:cs="Courier New"/>
          <w:color w:val="000000"/>
          <w:sz w:val="22"/>
        </w:rPr>
        <w:t>0.95</w:t>
      </w:r>
      <w:r>
        <w:rPr>
          <w:rFonts w:ascii="Times New Roman" w:hAnsi="Times New Roman" w:eastAsia="Times New Roman" w:cs="Times New Roman"/>
          <w:color w:val="000000"/>
          <w:sz w:val="24"/>
        </w:rPr>
        <w:t>, 48 wells, and five families x 32 seeds,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SPADE selected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within the same DC sample, answered 66/160, and contained truth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 66/66 answered regions (observed conditional containment </w:t>
      </w:r>
      <w:r>
        <w:rPr>
          <w:rFonts w:ascii="Courier New" w:hAnsi="Courier New" w:eastAsia="Courier New" w:cs="Courier New"/>
          <w:color w:val="000000"/>
          <w:sz w:val="22"/>
        </w:rPr>
        <w:t>1.0000</w:t>
      </w:r>
      <w:r>
        <w:rPr>
          <w:rFonts w:ascii="Times New Roman" w:hAnsi="Times New Roman" w:eastAsia="Times New Roman" w:cs="Times New Roman"/>
          <w:color w:val="000000"/>
          <w:sz w:val="24"/>
        </w:rPr>
        <w:t>, ordinary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binomial lower bound </w:t>
      </w:r>
      <w:r>
        <w:rPr>
          <w:rFonts w:ascii="Courier New" w:hAnsi="Courier New" w:eastAsia="Courier New" w:cs="Courier New"/>
          <w:color w:val="000000"/>
          <w:sz w:val="22"/>
        </w:rPr>
        <w:t>0.9556</w:t>
      </w:r>
      <w:r>
        <w:rPr>
          <w:rFonts w:ascii="Times New Roman" w:hAnsi="Times New Roman" w:eastAsia="Times New Roman" w:cs="Times New Roman"/>
          <w:color w:val="000000"/>
          <w:sz w:val="24"/>
        </w:rPr>
        <w:t>). Neither DoE arm passed at any inflation, so baseline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diagnostics are reported: screened DoE answered 122/160 and contained 85/122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0.6967</w:t>
      </w:r>
      <w:r>
        <w:rPr>
          <w:rFonts w:ascii="Times New Roman" w:hAnsi="Times New Roman" w:eastAsia="Times New Roman" w:cs="Times New Roman"/>
          <w:color w:val="000000"/>
          <w:sz w:val="24"/>
        </w:rPr>
        <w:t>); unscreened DoE answered 134/160 and contained 77/134 (</w:t>
      </w:r>
      <w:r>
        <w:rPr>
          <w:rFonts w:ascii="Courier New" w:hAnsi="Courier New" w:eastAsia="Courier New" w:cs="Courier New"/>
          <w:color w:val="000000"/>
          <w:sz w:val="22"/>
        </w:rPr>
        <w:t>0.5746</w:t>
      </w:r>
      <w:r>
        <w:rPr>
          <w:rFonts w:ascii="Times New Roman" w:hAnsi="Times New Roman" w:eastAsia="Times New Roman" w:cs="Times New Roman"/>
          <w:color w:val="000000"/>
          <w:sz w:val="24"/>
        </w:rPr>
        <w:t>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These within-sample descriptive results do not condemn DoE as a class or establish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transportable coverage.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2. C2 regional answers and point trade-off.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cantSplit/>
          <w:tblHeader w:val="true"/>
        </w:trPr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Arm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Prevalence; noise; assurance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Wells; rounds; seeds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Inflation rule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Answered</w:t>
            </w:r>
          </w:p>
        </w:tc>
        <w:tc>
          <w:tcPr>
            <w:tcW w:type="dxa" w:w="1338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Contained among answers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SPADE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R5;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Within-DC selected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66/160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66/66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Screened DoE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R3;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No passing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; baseline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fallback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122/160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85/122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Unscreened DoE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R3;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No passing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; baseline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fallback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134/160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77/134</w:t>
            </w:r>
          </w:p>
        </w:tc>
      </w:tr>
    </w:tbl>
    <w:p>
      <w:pPr>
        <w:spacing w:after="40"/>
      </w:pP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Certifiability depended on family, prevalence, and margin-to-noise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Across five families and prevalences 0.70, 0.50, 0.30, 0.20, and 0.10, SPADE answer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rate at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alpha=0.95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48 wells, R5, relative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, and 64 seeds per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 was descriptively associated with mean seed-specific true margin-to-noise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(Spearman rho </w:t>
      </w:r>
      <w:r>
        <w:rPr>
          <w:rFonts w:ascii="Courier New" w:hAnsi="Courier New" w:eastAsia="Courier New" w:cs="Courier New"/>
          <w:color w:val="000000"/>
          <w:sz w:val="22"/>
        </w:rPr>
        <w:t>0.9880098603391883</w:t>
      </w:r>
      <w:r>
        <w:rPr>
          <w:rFonts w:ascii="Times New Roman" w:hAnsi="Times New Roman" w:eastAsia="Times New Roman" w:cs="Times New Roman"/>
          <w:color w:val="000000"/>
          <w:sz w:val="24"/>
        </w:rPr>
        <w:t>; 25 nested family-prevalence cells). The diagnostic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uses latent truth and is explanatory, not available prospectively. Shared families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ordered prevalences make the cells dependent and nonexchangeable.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the biology-shaped but synthetic Hill family at prevalence </w:t>
      </w:r>
      <w:r>
        <w:rPr>
          <w:rFonts w:ascii="Courier New" w:hAnsi="Courier New" w:eastAsia="Courier New" w:cs="Courier New"/>
          <w:color w:val="000000"/>
          <w:sz w:val="22"/>
        </w:rPr>
        <w:t>0.70</w:t>
      </w:r>
      <w:r>
        <w:rPr>
          <w:rFonts w:ascii="Times New Roman" w:hAnsi="Times New Roman" w:eastAsia="Times New Roman" w:cs="Times New Roman"/>
          <w:color w:val="000000"/>
          <w:sz w:val="24"/>
        </w:rPr>
        <w:t>, under those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same settings, SPADE answered 40/64 and contained truth in 40/40 (ordinary-binomial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lower bound </w:t>
      </w:r>
      <w:r>
        <w:rPr>
          <w:rFonts w:ascii="Courier New" w:hAnsi="Courier New" w:eastAsia="Courier New" w:cs="Courier New"/>
          <w:color w:val="000000"/>
          <w:sz w:val="22"/>
        </w:rPr>
        <w:t>0.9278</w:t>
      </w:r>
      <w:r>
        <w:rPr>
          <w:rFonts w:ascii="Times New Roman" w:hAnsi="Times New Roman" w:eastAsia="Times New Roman" w:cs="Times New Roman"/>
          <w:color w:val="000000"/>
          <w:sz w:val="24"/>
        </w:rPr>
        <w:t>). qLogNEI answered 27/64 and contained 27/27; its limitation was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answer count required by the registered gate, not failure to return contained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regions.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55611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561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color w:val="000000"/>
          <w:sz w:val="20"/>
        </w:rPr>
        <w:t>**Fig 4. Historical supporting evidence: calibration, posterior self-consistency,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and answer-rate summaries, not C3 certified volume.** (A) Retrospective Hill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calibration error and refinement are descriptive summaries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  <m:box>
              <m:e>
                <m:r>
                  <m:rPr>
                    <m:sty m:val="p"/>
                  </m:rPr>
                  <m:t>,</m:t>
                </m:r>
              </m:e>
            </m:box>
            <m:r>
              <m:rPr>
                <m:sty m:val="p"/>
              </m:rPr>
              <m:t>200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repeated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threshold cells per method). (B) Prospective Hill fractions of non-empty campaigns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meeting the held-out posterior check, minus </w:t>
      </w:r>
      <m:oMath>
        <m:box>
          <m:e>
            <m:r>
              <m:rPr>
                <m:sty m:val="i"/>
              </m:rPr>
              <m:t>α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; this is posterior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self-consistency, not empirical containment against the oracle. Original 95%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binomial intervals do not adjust for repeated Hill instances. (C) In the separate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retrospective five-family study at </w:t>
      </w:r>
      <m:oMath>
        <m:box>
          <m:e>
            <m:r>
              <m:rPr>
                <m:sty m:val="i"/>
              </m:rPr>
              <m:t>α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0.95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campaigns returning any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non-empty certificate were 0/50 for Ackley, 11/50 for Hartmann6, 50/50 for Hill,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49/50 for Levy, and 50/50 for Rosenbrock; zero denotes refusal to certify.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(D) Conditional containment at </w:t>
      </w:r>
      <m:oMath>
        <m:box>
          <m:e>
            <m:r>
              <m:rPr>
                <m:sty m:val="i"/>
              </m:rPr>
              <m:t>α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0.80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pools dependent non-empty cells.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These archived certificate displays are not the C3 certified-volume comparison.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 marginalisation diagnosed real-data posterior collapse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Treating the fitted GP mean as fixed had little effect in synthetic diagnostics: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mean-marginalised posterior width increased by </w:t>
      </w:r>
      <w:r>
        <w:rPr>
          <w:rFonts w:ascii="Courier New" w:hAnsi="Courier New" w:eastAsia="Courier New" w:cs="Courier New"/>
          <w:color w:val="000000"/>
          <w:sz w:val="22"/>
        </w:rPr>
        <w:t>1.004x–1.011x</w:t>
      </w:r>
      <w:r>
        <w:rPr>
          <w:rFonts w:ascii="Times New Roman" w:hAnsi="Times New Roman" w:eastAsia="Times New Roman" w:cs="Times New Roman"/>
          <w:color w:val="000000"/>
          <w:sz w:val="24"/>
        </w:rPr>
        <w:t>. The same correction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increased mean posterior marginal SD approximately </w:t>
      </w:r>
      <w:r>
        <w:rPr>
          <w:rFonts w:ascii="Courier New" w:hAnsi="Courier New" w:eastAsia="Courier New" w:cs="Courier New"/>
          <w:color w:val="000000"/>
          <w:sz w:val="22"/>
        </w:rPr>
        <w:t>484x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the in-house candidate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dataset and </w:t>
      </w:r>
      <w:r>
        <w:rPr>
          <w:rFonts w:ascii="Courier New" w:hAnsi="Courier New" w:eastAsia="Courier New" w:cs="Courier New"/>
          <w:color w:val="000000"/>
          <w:sz w:val="22"/>
        </w:rPr>
        <w:t>297x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published Hall–Ogle data. Observation-prediction LOO inflation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assay-specific (</w:t>
      </w:r>
      <w:r>
        <w:rPr>
          <w:rFonts w:ascii="Courier New" w:hAnsi="Courier New" w:eastAsia="Courier New" w:cs="Courier New"/>
          <w:color w:val="000000"/>
          <w:sz w:val="22"/>
        </w:rPr>
        <w:t>c=0.712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in-house and </w:t>
      </w:r>
      <w:r>
        <w:rPr>
          <w:rFonts w:ascii="Courier New" w:hAnsi="Courier New" w:eastAsia="Courier New" w:cs="Courier New"/>
          <w:color w:val="000000"/>
          <w:sz w:val="22"/>
        </w:rPr>
        <w:t>c=0.526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published). These S2/S3 values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retrospective, stdout-reproduced support without structured numerical guards. LOO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prediction does not identify latent-function uncertainty, and the in-house CD31 gates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remain </w:t>
      </w:r>
      <w:r>
        <w:rPr>
          <w:rFonts w:ascii="Courier New" w:hAnsi="Courier New" w:eastAsia="Courier New" w:cs="Courier New"/>
          <w:color w:val="000000"/>
          <w:sz w:val="22"/>
        </w:rPr>
        <w:t>awaiting_human_signoff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Failed targeting, the real-noise ceiling, and the unopened lockbox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target-aligned acquisition did not earn adoption. Relative to committed SPADE, its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certified-volume change was </w:t>
      </w:r>
      <w:r>
        <w:rPr>
          <w:rFonts w:ascii="Courier New" w:hAnsi="Courier New" w:eastAsia="Courier New" w:cs="Courier New"/>
          <w:color w:val="000000"/>
          <w:sz w:val="22"/>
        </w:rPr>
        <w:t>+0.000425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[-0.000022,+0.000875]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and its regret was worse by </w:t>
      </w:r>
      <w:r>
        <w:rPr>
          <w:rFonts w:ascii="Courier New" w:hAnsi="Courier New" w:eastAsia="Courier New" w:cs="Courier New"/>
          <w:color w:val="000000"/>
          <w:sz w:val="22"/>
        </w:rPr>
        <w:t>+0.0301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(95% CI </w:t>
      </w:r>
      <w:r>
        <w:rPr>
          <w:rFonts w:ascii="Courier New" w:hAnsi="Courier New" w:eastAsia="Courier New" w:cs="Courier New"/>
          <w:color w:val="000000"/>
          <w:sz w:val="22"/>
        </w:rPr>
        <w:t>[+0.0169,+0.0450]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>). Family effects cancelled. This failure 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why SPADE's value is described architecturally rather than as a successful targeting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mechanism.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 measured real-assay relative noise 0.68, no tested arm certified. Replication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independent noise identification are therefore prerequisites for prospective use 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that noise level.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later future-response development grid evaluated nine candidate protocols on five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families. Table 3 reports its preserved ranges; every candidate missed the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containment floor on at least one family. The selector returned </w:t>
      </w: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>, no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power artifact was authorized, and the lockbox remained </w:t>
      </w:r>
      <w:r>
        <w:rPr>
          <w:rFonts w:ascii="Courier New" w:hAnsi="Courier New" w:eastAsia="Courier New" w:cs="Courier New"/>
          <w:color w:val="000000"/>
          <w:sz w:val="22"/>
        </w:rPr>
        <w:t>FROZEN_UNOPENED</w:t>
      </w:r>
      <w:r>
        <w:rPr>
          <w:rFonts w:ascii="Times New Roman" w:hAnsi="Times New Roman" w:eastAsia="Times New Roman" w:cs="Times New Roman"/>
          <w:color w:val="000000"/>
          <w:sz w:val="24"/>
        </w:rPr>
        <w:t>. No lockbox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evidence was opened.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3. Joint-protocol development ranges across nine candidates.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Family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Answer count range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Empirical containment range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Hill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49–50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0.140–0.490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Ackley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0.320–0.820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Hartmann6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0.440–0.940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Levy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47–49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0.213–0.333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Rosenbrock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47–50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0.061–0.320</w:t>
            </w:r>
          </w:p>
        </w:tc>
      </w:tr>
    </w:tbl>
    <w:p>
      <w:pPr>
        <w:spacing w:after="40"/>
      </w:pP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Discussion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primary conclusion is decision-specific. At five matched rounds, SPADE produced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greater certified volume than qLogNEI under registered LOFO calibration. In the DC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comparison its answered regions also had stronger observed truth containment than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tested DoE pipelines. Those findings support SPADE when the requested deliverable is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 operating region and abstention is acceptable.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They do not support a universal ranking. The qLogNEI point comparison showed no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detectable difference and did not establish equivalence. Screened DoE found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substantially better point recipe in fewer rounds. A laboratory requiring one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rationally prefer a point optimizer; a laboratory requiring a region faces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different loss function.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contribution is integration and evidence, not theoretical priority. GP level-set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learning, Vorob'ev summaries, simultaneous posterior inclusion, and conservative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excursion sets are established. SPADE adapts them to a fixed-well assay architecture,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uses common regional post-processing across comparator observations, and permits an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empty answer. The failed target-alignment experiment prevents attributing the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regional result to successful threshold targeting.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Scope and limitations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All comparative landscapes were synthetic, the domain was evaluated on finite grids,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and headline noise was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. Families, seeds, target prevalences, kernels, acquisition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implementations, and one 48-well budget bound the result. The tested DoE is one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low-order response-surface pipeline and qLogNEI is one BO acquisition.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Inference is conditional on the frozen benchmark. The flat-cell bootstrap may be too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narrow because repeated family-seed-prevalence cells are dependent. Pooled binomial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bounds do not become cluster-aware merely because they are exact under an ordinary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Bernoulli model. C2 calibration is within-sample; only C3 holds a family out during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inflation selection. Neither procedure supplies distribution-free or regulatory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coverage.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real-data analyses are retrospective diagnostics. They do not establish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equivalence, manufacturing qualification, regulatory validation, or prospective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wet-lab performance. The relative-noise ceiling, unsigned in-house gates, missing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replicate-tube noise identification, joint-protocol </w:t>
      </w: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>, and unopened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lockbox preclude such claims.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Relationship to published and retained evidence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4 situates the contribution. Physical and biological optimization studies provide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wet-lab relevance but usually answer different budget and decision questions.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Methodological papers supply the level-set and conservative-set foundations.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present simulation offers known truth but no biological validation.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4. Selected precedents and scope.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Evidence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Decision or method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Relationship to this study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Hall, Lin, and Ogle [7]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Experimental-design study of extracellular matrix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Published assay-shape support; not a SPADE campaign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Rummukainen et al. [8]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Physical DoE and adaptive optimization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Wet-process evidence with a different budget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Lapierre et al. [9]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Multicycle BO and two-step DoE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Biological growth outcome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Gotovos et al. [13]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Level-set classification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 level-set precedent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Azzimonti et al. [14]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Conservative excursion sets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Close estimator antecedent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Bogunovic et al. [15]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TruVaR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Optimization/level-set connection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Present study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Point and conservative-region decisions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Fixed-well synthetic comparison with abstention</w:t>
            </w:r>
          </w:p>
        </w:tc>
      </w:tr>
    </w:tbl>
    <w:p>
      <w:pPr>
        <w:spacing w:after="40"/>
      </w:pP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5. Contribution and novelty boundary.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Element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Classification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Present contribution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GP excursion sets, boundary learning, Vorob'ev candidates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Integrated, not claimed as new theory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qLogNEI and response-surface DoE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 comparator ingredients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Implemented as specific fixed-budget pipelines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Per-well variances, round schedules, empty answer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Assay-oriented adaptation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Operational SPADE architecture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Common conservative-region estimator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Comparative-design choice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Separates observations from regional post-processing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Regret, volume, answers, and truth containment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Empirical evidence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Bounded to named synthetic settings</w:t>
            </w:r>
          </w:p>
        </w:tc>
      </w:tr>
    </w:tbl>
    <w:p>
      <w:pPr>
        <w:spacing w:after="40"/>
      </w:pP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Conclusions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performed better for the tested operating-region decision: at matched five rounds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it returned greater certified volume than qLogNEI, and its answered DC regions had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stronger observed containment than the tested DoE pipelines. That regional conclusion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coexists with no detectable point-regret difference from longer qLogNEI, an interval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that did not establish equivalence, and a clear adverse result in which three-round DoE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found a better point recipe than five-round SPADE.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Choose SPADE when a moderate-noise, fixed-well campaign must return a conservative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operating region and may abstain; choose a point optimizer when only one recipe 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required. These computational results do not establish recipe equivalence,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manufacturing qualification, regulatory validation, or prospective wet-lab performance.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Data availability statement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Primary result files, analysis scripts, protocols, and supporting tables are available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 the project repository at https://github.com/akwnn/nutrigene-ai-bo-ipsec. Original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software is released under the MIT License; original research materials (manuscript,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figures, synthetic datasets, and retained results) are released under CC BY 4.0 (see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LICENSE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w:r>
        <w:rPr>
          <w:rFonts w:ascii="Courier New" w:hAnsi="Courier New" w:eastAsia="Courier New" w:cs="Courier New"/>
          <w:color w:val="000000"/>
          <w:sz w:val="22"/>
        </w:rPr>
        <w:t>LICENSE-CONTENT.md</w:t>
      </w:r>
      <w:r>
        <w:rPr>
          <w:rFonts w:ascii="Times New Roman" w:hAnsi="Times New Roman" w:eastAsia="Times New Roman" w:cs="Times New Roman"/>
          <w:color w:val="000000"/>
          <w:sz w:val="24"/>
        </w:rPr>
        <w:t>). Audited reproduction paths are indexed in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>. A DOI-bearing archival deposit remains pending;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repository is the current source of the materials described here.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Author contributions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Alana Wai Han Kwan: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Conceptualization; Formal analysis; Investigation; Methodology;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Project administration; Validation; Visualization; Writing – original draft; Writing –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 &amp; editing.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Joseph Yung: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Conceptualization; Data curation; Formal analysis; Investigation;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Methodology; Software; Validation; Writing – review &amp; editing.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Roles follow the CRediT taxonomy.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Acknowledgments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 thank the Obermeyer Research Group at Columbia University for research context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multicomponent formulation design. Computational experiments used synthetic landscapes;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 wet-lab samples were generated for this study.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References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1. Box GEP, Wilson KB. On the experimental attainment of optimum conditions. J R Stat Soc Series B Stat Methodol. 1951;13:1–38. doi:10.1111/j.2517-6161.1951.tb00067.x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2. Box GEP, Draper NR. Empirical model-building and response surfaces. New York: Wiley; 1987.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3. Myers RH, Montgomery DC, Anderson-Cook CM. Response surface methodology: Process and product optimization using designed experiments. 4th ed. Hoboken: Wiley; 2016.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4. Močkus J. On Bayesian methods for seeking the extremum. In: Marchuk GI, editor. Optimization techniques IFIP Technical Conference. Berlin: Springer; 1975. p. 400–404. doi:10.1007/3-540-07165-2_55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5. Jones DR, Schonlau M, Welch WJ. Efficient global optimization of expensive black-box functions. J Glob Optim. 1998;13:455–492. doi:10.1023/A:1008306431147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6. Frazier PI. A tutorial on Bayesian optimization. arXiv:1807.02811 [Preprint]. 2018 [cited 2026 Aug 26]. Available from: https://arxiv.org/abs/1807.02811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7. Hall ML, Lin W-H, Ogle BM. Optimizing extracellular matrix for endothelial differentiation using a design of experiments approach. Sci Rep. 2025;15:24479. doi:10.1038/s41598-025-09256-9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8. Rummukainen H, Hörhammer H, Kuusela P, Kilpi J, Sirviö J, Mäkelä M. Traditional or adaptive design of experiments? A pilot-scale comparison on wood delignification. Heliyon. 2024;10:e24484. doi:10.1016/j.heliyon.2024.e24484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9. Lapierre F, Mattaliano P, Raith D, Castillo-Cota M, Bermeitinger J, Huber R. Multi-cycle high-throughput growth media optimization using batch Bayesian optimization. J Chem Technol Biotechnol. 2025;100:1571–1583. doi:10.1002/jctb.7860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10. Ndahiro N, Ma E, Bertalan T, Donohue M, Kevrekidis Y, Betenbaugh M. Integration of Bayesian optimization and solution thermodynamics to optimize media design for mammalian biomanufacturing. iScience. 2025;28:112944. doi:10.1016/j.isci.2025.112944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11. Narayanan H, Hinckley JA, Barry R, Dang B, Wolffe LA, Atari A, Tseng Y-Y, Love JC. Accelerating cell culture media development using Bayesian optimization-based iterative experimental design. Nat Commun. 2025;16:6055. doi:10.1038/s41467-025-61113-5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12. Gisperg F, Klausser R, Elshazly M, Kopp J, Přáda Brichtová E, Spadiut O. Bayesian optimization in bioprocess engineering—Where do we stand today? Biotechnol Bioeng. 2025;122:1313–1325. doi:10.1002/bit.28960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13. Gotovos A, Casati N, Hitz G, Krause A. Active learning for level set estimation. Proceedings of the Twenty-Third International Joint Conference on Artificial Intelligence. 2013. Available from: https://people.csail.mit.edu/alkisg/files/gotovos13active.pdf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14. Azzimonti D, Ginsbourger D, Chevalier C, Bect J, Richet Y. Adaptive design of experiments for conservative estimation of excursion sets. Technometrics. 2021;63:13–26. doi:10.1080/00401706.2019.1693427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15. Bogunovic I, Scarlett J, Krause A, Cevher V. Truncated variance reduction: A unified approach to Bayesian optimization and level-set estimation. Advances in Neural Information Processing Systems. 2016;29. Available from: https://papers.neurips.cc/paper_files/paper/2016/hash/ce78d1da254c0843eb23951ae077ff5f-Abstract.html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16. Ament S, Daulton S, Eriksson D, Balandat M, Bakshy E. Unexpected improvements to expected improvement for Bayesian optimization. Advances in Neural Information Processing Systems. 2023;36. Available from: https://proceedings.neurips.cc/paper_files/paper/2023/hash/419f72cbd568ad62183f8132a3605a2a-Abstract-Conference.html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17. Gneiting T, Raftery AE. Strictly proper scoring rules, prediction, and estimation. J Am Stat Assoc. 2007;102:359–378. doi:10.1198/016214506000001437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18. Balandat M, Karrer B, Jiang D, Daulton S, Letham B, Wilson AG, et al. BoTorch: A framework for efficient Monte-Carlo Bayesian optimization. Advances in Neural Information Processing Systems. 2020;33. Available from: https://proceedings.neurips.cc/paper/2020/hash/f5b1b89d98b7286673128a5fb112cb9a-Abstract.html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19. Mia I, Tiihonen A, Ernst A, Srivastava A, Buonassisi T, Vandenberghe W, et al. Multi-variable batch Bayesian optimization in materials research: Synthetic data analysis of noise sensitivity and problem landscape effects. J Mater Res. 2026;41:927–948. doi:10.1557/s43578-026-01803-y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20. Morris TP, White IR, Crowther MJ. Using simulation studies to evaluate statistical methods. Stat Med. 2019;38:2074–2102. doi:10.1002/sim.8086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Supporting information captions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four retained PLOS figures are the only figure files cited here. Figures 2–4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are historical or supporting Hill terminal-rule, map-error, and certificate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displays; they are not C3 certified-volume evidence. That comparison remains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1.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S1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Source rows for the historical terminal-rule display: measured-selection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Rule A versus common-GP Rule P on the Hill (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m:oMath>
        <m:box>
          <m:e>
            <m:sSub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0.25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)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benchmark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50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paired campaigns per method), including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search-versus-identification decomposition. This table supports the Rule A/Rule P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plot, not the C1 R5-versus-R10 regret contrast.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S2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Source rows for the historical registered-target map-error display: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symmetric-difference map error versus Rule-P simple regret, paired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SPADE-minus-Sobol and SPADE-minus-qLogNEI map contrasts with the ±0.02 shaded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smallest-effect band, equal-well round costs, and descriptive Hartmann 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and</w:t>
      </w:r>
    </w:p>
    <w:p>
      <w:pPr>
        <w:widowControl/>
      </w:pP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8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robustness means. This table is not a matched-round certified-volume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comparison.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S3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Source rows for the historical calibration and certificate display: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 Hill calibration/refinement cells, prospective Hill posterior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self-consistency checks (not empirical containment against the oracle),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five-family answer-rate versus conditional-containment summaries. These archived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certificate checks do not replace the C3 certified-volume result.</w:t>
      </w:r>
    </w:p>
    <w:sectPr w:rsidR="00FC693F" w:rsidRPr="0006063C" w:rsidSect="00034616">
      <w:footerReference w:type="default" r:id="rId9"/>
      <w:pgSz w:w="12240" w:h="15840"/>
      <w:pgMar w:top="1440" w:right="1440" w:bottom="2160" w:left="1440" w:header="708" w:footer="708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0"/>
      </w:rPr>
      <w:t xml:space="preserve">Page </w:t>
    </w:r>
    <w:r>
      <w:rPr>
        <w:rFonts w:ascii="Times New Roman" w:hAnsi="Times New Roman" w:eastAsia="Times New Roman" w:cs="Times New Roman"/>
        <w:color w:val="000000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480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SPADE improves operating-region decisions under fixed experimental budgets: a synthetic comparison with Bayesian optimization and response-surface design</dc:title>
  <dc:subject>PLOS ONE research article manuscript</dc:subject>
  <dc:creator>python-docx</dc:creator>
  <cp:keywords>SPADE; Bayesian optimization; response-surface methodology; design space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