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1F1F1F"/>
          <w:sz w:val="36"/>
        </w:rPr>
        <w:t>智能人才库项目立项说明书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9"/>
        </w:rPr>
        <w:t>刷新版｜仅补充立项层面应固化的项目基线口径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531"/>
            <w:vAlign w:val="center"/>
            <w:shd w:fill="EAF2F8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/>
                <w:color w:val="1F4E78"/>
                <w:sz w:val="20"/>
              </w:rPr>
              <w:t>项目名称</w:t>
            </w:r>
          </w:p>
        </w:tc>
        <w:tc>
          <w:tcPr>
            <w:tcW w:type="dxa" w:w="294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智能人才库项目</w:t>
            </w:r>
          </w:p>
        </w:tc>
        <w:tc>
          <w:tcPr>
            <w:tcW w:type="dxa" w:w="1531"/>
            <w:vAlign w:val="center"/>
            <w:shd w:fill="EAF2F8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/>
                <w:color w:val="1F4E78"/>
                <w:sz w:val="20"/>
              </w:rPr>
              <w:t>项目性质</w:t>
            </w:r>
          </w:p>
        </w:tc>
        <w:tc>
          <w:tcPr>
            <w:tcW w:type="dxa" w:w="294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内部招聘效率与决策支持系统</w:t>
            </w:r>
          </w:p>
        </w:tc>
      </w:tr>
      <w:tr>
        <w:tc>
          <w:tcPr>
            <w:tcW w:type="dxa" w:w="1531"/>
            <w:vAlign w:val="center"/>
            <w:shd w:fill="EAF2F8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/>
                <w:color w:val="1F4E78"/>
                <w:sz w:val="20"/>
              </w:rPr>
              <w:t>实施方式</w:t>
            </w:r>
          </w:p>
        </w:tc>
        <w:tc>
          <w:tcPr>
            <w:tcW w:type="dxa" w:w="294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人 + AI 协同开发</w:t>
            </w:r>
          </w:p>
        </w:tc>
        <w:tc>
          <w:tcPr>
            <w:tcW w:type="dxa" w:w="1531"/>
            <w:vAlign w:val="center"/>
            <w:shd w:fill="EAF2F8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/>
                <w:color w:val="1F4E78"/>
                <w:sz w:val="20"/>
              </w:rPr>
              <w:t>当前阶段</w:t>
            </w:r>
          </w:p>
        </w:tc>
        <w:tc>
          <w:tcPr>
            <w:tcW w:type="dxa" w:w="294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第一阶段：学术人才子系统 MVP</w:t>
            </w:r>
          </w:p>
        </w:tc>
      </w:tr>
      <w:tr>
        <w:tc>
          <w:tcPr>
            <w:tcW w:type="dxa" w:w="1531"/>
            <w:vAlign w:val="center"/>
            <w:shd w:fill="EAF2F8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/>
                <w:color w:val="1F4E78"/>
                <w:sz w:val="20"/>
              </w:rPr>
              <w:t>当前数据底座</w:t>
            </w:r>
          </w:p>
        </w:tc>
        <w:tc>
          <w:tcPr>
            <w:tcW w:type="dxa" w:w="294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OpenAlex（第一阶段 Source Layer）</w:t>
            </w:r>
          </w:p>
        </w:tc>
        <w:tc>
          <w:tcPr>
            <w:tcW w:type="dxa" w:w="1531"/>
            <w:vAlign w:val="center"/>
            <w:shd w:fill="EAF2F8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/>
                <w:color w:val="1F4E78"/>
                <w:sz w:val="20"/>
              </w:rPr>
              <w:t>质量定位</w:t>
            </w:r>
          </w:p>
        </w:tc>
        <w:tc>
          <w:tcPr>
            <w:tcW w:type="dxa" w:w="294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高标准 MVP / 受控试运行版本</w:t>
            </w:r>
          </w:p>
        </w:tc>
      </w:tr>
      <w:tr>
        <w:tc>
          <w:tcPr>
            <w:tcW w:type="dxa" w:w="1531"/>
            <w:vAlign w:val="center"/>
            <w:shd w:fill="EAF2F8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/>
                <w:color w:val="1F4E78"/>
                <w:sz w:val="20"/>
              </w:rPr>
              <w:t>文档用途</w:t>
            </w:r>
          </w:p>
        </w:tc>
        <w:tc>
          <w:tcPr>
            <w:tcW w:type="dxa" w:w="294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立项说明、范围基线、阶段启动依据</w:t>
            </w:r>
          </w:p>
        </w:tc>
        <w:tc>
          <w:tcPr>
            <w:tcW w:type="dxa" w:w="1531"/>
            <w:vAlign w:val="center"/>
            <w:shd w:fill="EAF2F8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/>
                <w:color w:val="1F4E78"/>
                <w:sz w:val="20"/>
              </w:rPr>
              <w:t>刷新原则</w:t>
            </w:r>
          </w:p>
        </w:tc>
        <w:tc>
          <w:tcPr>
            <w:tcW w:type="dxa" w:w="294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 w:before="30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只补充立项应固化的管理口径，细节下沉至需求与设计阶段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8"/>
          <w:sz w:val="28"/>
        </w:rPr>
        <w:t>1. 项目基本背景</w:t>
      </w:r>
    </w:p>
    <w:p>
      <w:pPr>
        <w:spacing w:line="317" w:lineRule="auto" w:after="60"/>
      </w:pPr>
      <w:r>
        <w:rPr>
          <w:rFonts w:ascii="Microsoft YaHei" w:hAnsi="Microsoft YaHei" w:eastAsia="Microsoft YaHei"/>
          <w:b w:val="0"/>
          <w:color w:val="1F1F1F"/>
          <w:sz w:val="21"/>
        </w:rPr>
        <w:t>当前招聘相关工作中，外部人才信息的获取、整理、分析与持续跟踪，仍较大程度依赖人工搜索、人工判断和零散沉淀，已难以支撑高质量、可持续的人才发现与情报积累。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信息来源分散。学术、开源、工业、竞赛等不同来源的人才信息缺少统一入口，检索成本高。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信息结构化程度低。候选人的成果、经历、关系网络和潜力信号难以沉淀为可复用的数据资产。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分析依赖个人经验。重点人才识别、优先级判断和岗位适配，多依赖经验，缺少统一分析框架。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长期跟踪能力不足。候选人资料难以形成持续积累的人才池，无法支持后续复用与对比分析。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未来衔接能力不足。若后续需要与人才管理侧的人才地图、技术地图、合作地图对接，目前缺少统一的数据对象和接口预留。</w:t>
      </w:r>
    </w:p>
    <w:p>
      <w:pPr>
        <w:spacing w:line="317" w:lineRule="auto" w:after="60"/>
      </w:pPr>
      <w:r>
        <w:rPr>
          <w:rFonts w:ascii="Microsoft YaHei" w:hAnsi="Microsoft YaHei" w:eastAsia="Microsoft YaHei"/>
          <w:b w:val="0"/>
          <w:color w:val="1F1F1F"/>
          <w:sz w:val="21"/>
        </w:rPr>
        <w:t>因此，有必要建设一套服务招聘场景的智能人才库，先从学术人才子系统切入，逐步扩展到开源生态人才、行业/工业界人才、竞赛人才及校园招聘博士专项人才池，并为后续与人才管理系统集成预留能力。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8"/>
          <w:sz w:val="28"/>
        </w:rPr>
        <w:t>2. 项目定位</w:t>
      </w:r>
    </w:p>
    <w:p>
      <w:pPr>
        <w:spacing w:line="317" w:lineRule="auto" w:after="60"/>
      </w:pPr>
      <w:r>
        <w:rPr>
          <w:rFonts w:ascii="Microsoft YaHei" w:hAnsi="Microsoft YaHei" w:eastAsia="Microsoft YaHei"/>
          <w:b w:val="0"/>
          <w:color w:val="1F1F1F"/>
          <w:sz w:val="21"/>
        </w:rPr>
        <w:t>本项目不是面向外部市场的商业化产品，也不是一次性建设完成的全域人才平台。</w:t>
      </w:r>
    </w:p>
    <w:p>
      <w:pPr>
        <w:spacing w:line="317" w:lineRule="auto" w:after="60"/>
      </w:pPr>
      <w:r>
        <w:rPr>
          <w:rFonts w:ascii="Microsoft YaHei" w:hAnsi="Microsoft YaHei" w:eastAsia="Microsoft YaHei"/>
          <w:b w:val="0"/>
          <w:color w:val="1F1F1F"/>
          <w:sz w:val="21"/>
        </w:rPr>
        <w:t>本项目定位为：面向公司内部招聘场景的智能人才基础设施项目，采用“高标准 MVP / 受控试运行版本”的方式分阶段建设，先完成第一阶段主链路闭环，再逐步扩展数据来源域和应用能力。</w:t>
      </w:r>
    </w:p>
    <w:p>
      <w:pPr>
        <w:spacing w:line="317" w:lineRule="auto" w:after="60"/>
      </w:pPr>
      <w:r>
        <w:rPr>
          <w:rFonts w:ascii="Microsoft YaHei" w:hAnsi="Microsoft YaHei" w:eastAsia="Microsoft YaHei"/>
          <w:b/>
          <w:color w:val="1F4E78"/>
          <w:sz w:val="21"/>
        </w:rPr>
        <w:t>立项层面需明确两条新增口径：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第一阶段虽以内部团队试用为目标，但不以“试用”或“MVP”为理由降低工程质量、交互体验与系统稳定性要求。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第一阶段交付结果应能够支持真实内部试用、反馈收集与持续迭代，而不仅是一次性演示版本。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8"/>
          <w:sz w:val="28"/>
        </w:rPr>
        <w:t>3. 项目目标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1F1F"/>
          <w:sz w:val="24"/>
        </w:rPr>
        <w:t>3.1 总体目标</w:t>
      </w:r>
    </w:p>
    <w:p>
      <w:pPr>
        <w:spacing w:line="317" w:lineRule="auto" w:after="60"/>
      </w:pPr>
      <w:r>
        <w:rPr>
          <w:rFonts w:ascii="Microsoft YaHei" w:hAnsi="Microsoft YaHei" w:eastAsia="Microsoft YaHei"/>
          <w:b w:val="0"/>
          <w:color w:val="1F1F1F"/>
          <w:sz w:val="21"/>
        </w:rPr>
        <w:t>建设一套以招聘为核心的人才智能平台，用于支持人才发现、人才画像、关系洞察、排序辅助、重点人才池沉淀，以及后续人才情报输出与人才管理系统对接。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1F1F"/>
          <w:sz w:val="24"/>
        </w:rPr>
        <w:t>3.2 第一阶段目标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基于 OpenAlex 建立学术人才数据接入能力。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构建学术候选人的结构化画像，并形成可查询、可复用的数据对象。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支持按学校、机构、技术方向、代表成果、活跃度等维度进行搜索和筛选。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支持候选人详情查看、基础排序和学术合作关系的初步洞察。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支持导出一批具有招聘价值的 TOP 学术候选人。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为后续统一人才主档、招聘专项人才池和人才管理系统集成预留架构基础。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1F1F"/>
          <w:sz w:val="24"/>
        </w:rPr>
        <w:t>3.3 第一阶段质量目标（立项目标层面）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核心链路达到可稳定试用水平，而非仅完成功能演示。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工程实现具备基本可维护性、可扩展性和测试保障。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界面与交互能够服务招聘判断效率，保证信息层级清晰、关键动作路径简洁、页面状态反馈完整。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8"/>
          <w:sz w:val="28"/>
        </w:rPr>
        <w:t>4. 第一阶段范围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1F1F"/>
          <w:sz w:val="24"/>
        </w:rPr>
        <w:t>4.1 纳入范围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学术人才子系统 MVP。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OpenAlex 数据接入与同步。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学术候选人画像生成。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搜索与筛选能力。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候选人详情页。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基础排序能力。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学术合作关系基础展示。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TOP 候选人导出。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与统一主档和集成层兼容的对象预留。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1F1F"/>
          <w:sz w:val="24"/>
        </w:rPr>
        <w:t>4.2 暂不纳入范围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开源生态人才库真实接入。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行业/工业界人才库真实接入。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竞赛人才库真实接入。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校园招聘博士人才库真实实现。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完整岗位匹配引擎。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复杂 AI 推荐模型。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人才管理系统真实双向对接。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商业化产品能力建设。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大规模微服务与复杂基础设施。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8"/>
          <w:sz w:val="28"/>
        </w:rPr>
        <w:t>5. 数据层定位与演进原则</w:t>
      </w:r>
    </w:p>
    <w:p>
      <w:pPr>
        <w:spacing w:line="317" w:lineRule="auto" w:after="60"/>
      </w:pPr>
      <w:r>
        <w:rPr>
          <w:rFonts w:ascii="Microsoft YaHei" w:hAnsi="Microsoft YaHei" w:eastAsia="Microsoft YaHei"/>
          <w:b w:val="0"/>
          <w:color w:val="1F1F1F"/>
          <w:sz w:val="21"/>
        </w:rPr>
        <w:t>OpenAlex 在第一阶段中的定位是学术人才子系统的 Source Layer，而不是未来智能人才库的最终数据模型。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第一阶段以 OpenAlex 作为主要外部数据来源，完成学术人才域首条数据链路验证。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业务对象层应保持对具体外部数据源的解耦，避免将 OpenAlex 字段直接等同于平台长期领域模型。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后续可根据业务需要逐步建设数据爬取与采集服务，用于接入更多开放来源、补充来源及专项来源。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未来整体架构需支持学术、开源、工业、竞赛、校园博士专项人才池等多个来源域的统一主档演进。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57"/>
            <w:vAlign w:val="center"/>
            <w:shd w:fill="F4F8FC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8"/>
                <w:sz w:val="20"/>
              </w:rPr>
              <w:t>建议在立项阶段保留的轻量分层表述</w:t>
            </w:r>
          </w:p>
        </w:tc>
      </w:tr>
      <w:tr>
        <w:tc>
          <w:tcPr>
            <w:tcW w:type="dxa" w:w="895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Source Layer：第一阶段以 OpenAlex 为主，后续扩展更多外部与内部来源。</w:t>
            </w:r>
          </w:p>
        </w:tc>
      </w:tr>
      <w:tr>
        <w:tc>
          <w:tcPr>
            <w:tcW w:type="dxa" w:w="895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Collection / Ingestion Layer：后续视需要建设数据采集、同步、清洗、映射与质量监控能力。</w:t>
            </w:r>
          </w:p>
        </w:tc>
      </w:tr>
      <w:tr>
        <w:tc>
          <w:tcPr>
            <w:tcW w:type="dxa" w:w="895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Domain Layer：沉淀统一的人才、机构、成果、主题、关系等领域对象。</w:t>
            </w:r>
          </w:p>
        </w:tc>
      </w:tr>
      <w:tr>
        <w:tc>
          <w:tcPr>
            <w:tcW w:type="dxa" w:w="895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Application Layer：面向招聘场景提供搜索、画像、排序、导出与人才池沉淀等能力。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8"/>
          <w:sz w:val="28"/>
        </w:rPr>
        <w:t>6. 项目实施方式</w:t>
      </w:r>
    </w:p>
    <w:p>
      <w:pPr>
        <w:spacing w:line="317" w:lineRule="auto" w:after="60"/>
      </w:pPr>
      <w:r>
        <w:rPr>
          <w:rFonts w:ascii="Microsoft YaHei" w:hAnsi="Microsoft YaHei" w:eastAsia="Microsoft YaHei"/>
          <w:b w:val="0"/>
          <w:color w:val="1F1F1F"/>
          <w:sz w:val="21"/>
        </w:rPr>
        <w:t>本项目采用“轻量立项、分阶段推进、人 + AI 协同开发”的方式实施。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先冻结第一阶段范围，不追求一步到位完成整个平台。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先打通学术人才子系统完整链路，形成可运行、可试用、可验证的第一阶段版本。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开发按任务包推进，由人主导边界、规则与验收，由 AI 辅助实现与提效。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所有新增需求默认进入 backlog，不直接打断当前阶段开发。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8"/>
          <w:sz w:val="28"/>
        </w:rPr>
        <w:t>7. 预期收益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1F1F"/>
          <w:sz w:val="24"/>
        </w:rPr>
        <w:t>7.1 对当前招聘工作的直接收益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降低外部人才搜索与资料整理成本。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提升重点候选人发现效率。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提升候选人分析与沟通准备效率。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形成可反复复用的人才信息资产。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1F1F"/>
          <w:sz w:val="24"/>
        </w:rPr>
        <w:t>7.2 对未来扩展的收益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为开源、工业、竞赛人才域扩展提供统一架构基础。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为校园招聘博士人才池等专项池预留能力。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为后续接入人才管理系统提供标准化对象与接口基础。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8"/>
          <w:sz w:val="28"/>
        </w:rPr>
        <w:t>8. 阶段性成功标准</w:t>
      </w:r>
    </w:p>
    <w:p>
      <w:pPr>
        <w:spacing w:line="317" w:lineRule="auto" w:after="60"/>
      </w:pPr>
      <w:r>
        <w:rPr>
          <w:rFonts w:ascii="Microsoft YaHei" w:hAnsi="Microsoft YaHei" w:eastAsia="Microsoft YaHei"/>
          <w:b w:val="0"/>
          <w:color w:val="1F1F1F"/>
          <w:sz w:val="21"/>
        </w:rPr>
        <w:t>第一阶段若达到以下结果，可视为阶段性成功：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学术数据可稳定接入并更新。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候选人画像可生成并可查询。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搜索、筛选、详情、排序和导出能力可稳定运行。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系统能够支撑一次完整的内部试用与 demo 展示。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使用方认为该系统具备继续迭代价值。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8"/>
          <w:sz w:val="28"/>
        </w:rPr>
        <w:t>9. 本次刷新建议的边界说明</w:t>
      </w:r>
    </w:p>
    <w:p>
      <w:pPr>
        <w:spacing w:line="317" w:lineRule="auto" w:after="60"/>
      </w:pPr>
      <w:r>
        <w:rPr>
          <w:rFonts w:ascii="Microsoft YaHei" w:hAnsi="Microsoft YaHei" w:eastAsia="Microsoft YaHei"/>
          <w:b w:val="0"/>
          <w:color w:val="1F1F1F"/>
          <w:sz w:val="21"/>
        </w:rPr>
        <w:t>从项目管理角度看，本次新增的两点应当进入立项文档，但只保留为项目基线口径，不在立项阶段展开为详细设计。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关于工程质量与 UX/UI 体验：立项阶段写入项目定位、质量目标和成功标准；具体非功能性要求在需求分析与方案设计阶段详细展开。</w:t>
      </w:r>
    </w:p>
    <w:p>
      <w:pPr>
        <w:pStyle w:val="ListBullet"/>
        <w:spacing w:after="30"/>
        <w:ind w:left="57"/>
      </w:pPr>
      <w:r>
        <w:rPr>
          <w:rFonts w:ascii="Microsoft YaHei" w:hAnsi="Microsoft YaHei" w:eastAsia="Microsoft YaHei"/>
          <w:b w:val="0"/>
          <w:color w:val="1F1F1F"/>
          <w:sz w:val="21"/>
        </w:rPr>
        <w:t>关于 OpenAlex 与后续采集服务：立项阶段写入数据层定位与演进原则；具体采集方式、同步策略、字段映射和分层设计在方案设计阶段展开。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6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