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erif CJK SC" w:hAnsi="Noto Serif CJK SC" w:eastAsia="Noto Serif CJK SC"/>
          <w:b/>
          <w:color w:val="1F345A"/>
          <w:sz w:val="44"/>
        </w:rPr>
        <w:t>智能人才库项目</w:t>
      </w:r>
    </w:p>
    <w:p>
      <w:pPr>
        <w:spacing w:after="120"/>
        <w:jc w:val="center"/>
      </w:pPr>
      <w:r>
        <w:rPr>
          <w:rFonts w:ascii="Noto Serif CJK SC" w:hAnsi="Noto Serif CJK SC" w:eastAsia="Noto Serif CJK SC"/>
          <w:b/>
          <w:color w:val="1F345A"/>
          <w:sz w:val="36"/>
        </w:rPr>
        <w:t>需求分析说明书（项目级）</w:t>
      </w:r>
    </w:p>
    <w:p>
      <w:pPr>
        <w:jc w:val="center"/>
      </w:pPr>
      <w:r>
        <w:rPr>
          <w:rFonts w:ascii="Noto Sans CJK SC" w:hAnsi="Noto Sans CJK SC" w:eastAsia="Noto Sans CJK SC"/>
          <w:color w:val="5B616E"/>
          <w:sz w:val="21"/>
        </w:rPr>
        <w:t>适用范围：整体智能人才库项目（覆盖第一阶段学术人才子系统 MVP）</w:t>
      </w:r>
    </w:p>
    <w:p>
      <w:pPr>
        <w:spacing w:before="160" w:after="240"/>
        <w:jc w:val="center"/>
        <w:pBdr>
          <w:bottom w:val="single" w:sz="10" w:space="1" w:color="A5B3C9"/>
        </w:pBdr>
      </w:pPr>
      <w:r>
        <w:t xml:space="preserve"> </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项目属性</w:t>
            </w:r>
          </w:p>
        </w:tc>
        <w:tc>
          <w:tcPr>
            <w:tcW w:type="dxa" w:w="6463"/>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面向公司内部招聘场景的智能人才基础设施项目</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本文件定位</w:t>
            </w:r>
          </w:p>
        </w:tc>
        <w:tc>
          <w:tcPr>
            <w:tcW w:type="dxa" w:w="6463"/>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从项目整体视角定义建设目标、范围、用户、场景、能力需求、阶段边界与演进原则</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阶段定位</w:t>
            </w:r>
          </w:p>
        </w:tc>
        <w:tc>
          <w:tcPr>
            <w:tcW w:type="dxa" w:w="6463"/>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需求分析阶段的项目级主文档，用于承接立项并指导后续方案设计</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第一阶段切入点</w:t>
            </w:r>
          </w:p>
        </w:tc>
        <w:tc>
          <w:tcPr>
            <w:tcW w:type="dxa" w:w="6463"/>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学术人才子系统 MVP，数据底座以 OpenAlex 为第一阶段 Source Layer</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质量原则</w:t>
            </w:r>
          </w:p>
        </w:tc>
        <w:tc>
          <w:tcPr>
            <w:tcW w:type="dxa" w:w="6463"/>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内部试用不降低工程质量、UX/UI 体验、稳定性与可维护性要求</w:t>
            </w:r>
          </w:p>
        </w:tc>
      </w:tr>
    </w:tbl>
    <w:p/>
    <w:p>
      <w:pPr>
        <w:jc w:val="center"/>
      </w:pPr>
      <w:r>
        <w:t>版本：V1.1</w:t>
      </w:r>
    </w:p>
    <w:p>
      <w:r>
        <w:br w:type="page"/>
      </w:r>
    </w:p>
    <w:p>
      <w:pPr>
        <w:pStyle w:val="Heading1"/>
        <w:spacing w:before="200" w:after="120"/>
      </w:pPr>
      <w:r>
        <w:rPr>
          <w:rFonts w:ascii="Noto Sans CJK SC" w:hAnsi="Noto Sans CJK SC" w:eastAsia="Noto Sans CJK SC"/>
          <w:b/>
          <w:color w:val="1F345A"/>
          <w:sz w:val="28"/>
        </w:rPr>
        <w:t>1. 文档目的与适用范围</w:t>
      </w:r>
    </w:p>
    <w:p>
      <w:pPr>
        <w:spacing w:line="324" w:lineRule="auto" w:after="100" w:before="0"/>
        <w:ind w:firstLine="420"/>
      </w:pPr>
      <w:r>
        <w:rPr>
          <w:rFonts w:ascii="Noto Sans CJK SC" w:hAnsi="Noto Sans CJK SC" w:eastAsia="Noto Sans CJK SC"/>
          <w:color w:val="333333"/>
          <w:sz w:val="21"/>
        </w:rPr>
        <w:t>本文件用于从整体智能人才库项目视角，对建设背景、核心业务问题、总体目标、用户对象、应用场景、能力需求、阶段范围与非功能性要求进行系统梳理，作为需求分析阶段的项目级基线文件。</w:t>
      </w:r>
    </w:p>
    <w:p>
      <w:pPr>
        <w:spacing w:line="324" w:lineRule="auto" w:after="100" w:before="0"/>
        <w:ind w:firstLine="420"/>
      </w:pPr>
      <w:r>
        <w:rPr>
          <w:rFonts w:ascii="Noto Sans CJK SC" w:hAnsi="Noto Sans CJK SC" w:eastAsia="Noto Sans CJK SC"/>
          <w:color w:val="333333"/>
          <w:sz w:val="21"/>
        </w:rPr>
        <w:t>本文件重点回答“为什么建设整体智能人才库、整体要具备哪些能力、为什么第一阶段先做学术人才子系统、后续如何分阶段扩展”，不替代子系统级的场景需求分析和需求规格说明。</w:t>
      </w:r>
    </w:p>
    <w:p>
      <w:pPr>
        <w:spacing w:line="324" w:lineRule="auto" w:after="100" w:before="0"/>
        <w:ind w:firstLine="420"/>
      </w:pPr>
      <w:r>
        <w:rPr>
          <w:rFonts w:ascii="Noto Sans CJK SC" w:hAnsi="Noto Sans CJK SC" w:eastAsia="Noto Sans CJK SC"/>
          <w:color w:val="333333"/>
          <w:sz w:val="21"/>
        </w:rPr>
        <w:t>本文件适用于项目发起人、项目 Owner、业务试用方、产品与设计、架构与开发、测试与质量把关等参与角色。</w:t>
      </w:r>
    </w:p>
    <w:p>
      <w:pPr>
        <w:pStyle w:val="Heading1"/>
        <w:spacing w:before="200" w:after="120"/>
      </w:pPr>
      <w:r>
        <w:rPr>
          <w:rFonts w:ascii="Noto Sans CJK SC" w:hAnsi="Noto Sans CJK SC" w:eastAsia="Noto Sans CJK SC"/>
          <w:b/>
          <w:color w:val="1F345A"/>
          <w:sz w:val="28"/>
        </w:rPr>
        <w:t>2. 项目背景与问题定义</w:t>
      </w:r>
    </w:p>
    <w:p>
      <w:pPr>
        <w:spacing w:line="324" w:lineRule="auto" w:after="100" w:before="0"/>
        <w:ind w:firstLine="420"/>
      </w:pPr>
      <w:r>
        <w:rPr>
          <w:rFonts w:ascii="Noto Sans CJK SC" w:hAnsi="Noto Sans CJK SC" w:eastAsia="Noto Sans CJK SC"/>
          <w:color w:val="333333"/>
          <w:sz w:val="21"/>
        </w:rPr>
        <w:t>招聘场景中的外部高层次人才识别与跟踪，长期存在“信息分散、判断依赖经验、沉淀不足、复用效率低”的共性问题。随着招聘对象从单一候选人扩展到学术、开源、产业、竞赛和校园博士等多种来源，传统依靠人工搜索和表格汇总的方式已经难以支撑持续、高质量的人才发现工作。</w:t>
      </w:r>
    </w:p>
    <w:p>
      <w:pPr>
        <w:spacing w:line="324" w:lineRule="auto" w:after="100" w:before="0"/>
        <w:ind w:firstLine="420"/>
      </w:pPr>
      <w:r>
        <w:rPr>
          <w:rFonts w:ascii="Noto Sans CJK SC" w:hAnsi="Noto Sans CJK SC" w:eastAsia="Noto Sans CJK SC"/>
          <w:color w:val="333333"/>
          <w:sz w:val="21"/>
        </w:rPr>
        <w:t>从项目整体视角看，当前业务主要痛点集中在以下五类：</w:t>
      </w:r>
    </w:p>
    <w:p>
      <w:pPr>
        <w:pStyle w:val="ListBullet"/>
        <w:spacing w:line="300" w:lineRule="auto" w:after="40"/>
      </w:pPr>
      <w:r>
        <w:rPr>
          <w:rFonts w:ascii="Noto Sans CJK SC" w:hAnsi="Noto Sans CJK SC" w:eastAsia="Noto Sans CJK SC"/>
          <w:color w:val="333333"/>
          <w:sz w:val="21"/>
        </w:rPr>
        <w:t>数据来源分散：学术论文、开源社区、行业履历、竞赛成果等信息缺少统一入口。</w:t>
      </w:r>
    </w:p>
    <w:p>
      <w:pPr>
        <w:pStyle w:val="ListBullet"/>
        <w:spacing w:line="300" w:lineRule="auto" w:after="40"/>
      </w:pPr>
      <w:r>
        <w:rPr>
          <w:rFonts w:ascii="Noto Sans CJK SC" w:hAnsi="Noto Sans CJK SC" w:eastAsia="Noto Sans CJK SC"/>
          <w:color w:val="333333"/>
          <w:sz w:val="21"/>
        </w:rPr>
        <w:t>候选人信息结构化不足：成果、经历、技能、合作网络和活跃度难以统一建模。</w:t>
      </w:r>
    </w:p>
    <w:p>
      <w:pPr>
        <w:pStyle w:val="ListBullet"/>
        <w:spacing w:line="300" w:lineRule="auto" w:after="40"/>
      </w:pPr>
      <w:r>
        <w:rPr>
          <w:rFonts w:ascii="Noto Sans CJK SC" w:hAnsi="Noto Sans CJK SC" w:eastAsia="Noto Sans CJK SC"/>
          <w:color w:val="333333"/>
          <w:sz w:val="21"/>
        </w:rPr>
        <w:t>识别和排序依赖个人经验：缺少可复用的评价口径与辅助决策机制。</w:t>
      </w:r>
    </w:p>
    <w:p>
      <w:pPr>
        <w:pStyle w:val="ListBullet"/>
        <w:spacing w:line="300" w:lineRule="auto" w:after="40"/>
      </w:pPr>
      <w:r>
        <w:rPr>
          <w:rFonts w:ascii="Noto Sans CJK SC" w:hAnsi="Noto Sans CJK SC" w:eastAsia="Noto Sans CJK SC"/>
          <w:color w:val="333333"/>
          <w:sz w:val="21"/>
        </w:rPr>
        <w:t>人才池沉淀能力弱：短期检索结果难以转化为长期可运营的人才资产。</w:t>
      </w:r>
    </w:p>
    <w:p>
      <w:pPr>
        <w:pStyle w:val="ListBullet"/>
        <w:spacing w:line="300" w:lineRule="auto" w:after="40"/>
      </w:pPr>
      <w:r>
        <w:rPr>
          <w:rFonts w:ascii="Noto Sans CJK SC" w:hAnsi="Noto Sans CJK SC" w:eastAsia="Noto Sans CJK SC"/>
          <w:color w:val="333333"/>
          <w:sz w:val="21"/>
        </w:rPr>
        <w:t>后续对接难度大：若未来需要接入人才地图、技术地图、合作地图，当前缺少统一对象与接口预留。</w:t>
      </w:r>
    </w:p>
    <w:p>
      <w:pPr>
        <w:pStyle w:val="Heading1"/>
        <w:spacing w:before="200" w:after="120"/>
      </w:pPr>
      <w:r>
        <w:rPr>
          <w:rFonts w:ascii="Noto Sans CJK SC" w:hAnsi="Noto Sans CJK SC" w:eastAsia="Noto Sans CJK SC"/>
          <w:b/>
          <w:color w:val="1F345A"/>
          <w:sz w:val="28"/>
        </w:rPr>
        <w:t>3. 项目定位与总体建设目标</w:t>
      </w:r>
    </w:p>
    <w:p>
      <w:pPr>
        <w:spacing w:line="324" w:lineRule="auto" w:after="100" w:before="0"/>
        <w:ind w:firstLine="420"/>
      </w:pPr>
      <w:r>
        <w:rPr>
          <w:rFonts w:ascii="Noto Sans CJK SC" w:hAnsi="Noto Sans CJK SC" w:eastAsia="Noto Sans CJK SC"/>
          <w:color w:val="333333"/>
          <w:sz w:val="21"/>
        </w:rPr>
        <w:t>智能人才库项目定位为面向公司内部招聘场景的智能人才基础设施项目，采用“高标准 MVP / 受控试运行版本”的方式分阶段建设。项目既不是一次性覆盖全域人才类型的大而全平台，也不是仅用于演示的试验性原型，而是在控制范围的前提下，以正式业务系统标准逐步构建可持续演进的底座能力。</w:t>
      </w:r>
    </w:p>
    <w:tbl>
      <w:tblPr>
        <w:tblStyle w:val="TableGrid"/>
        <w:tblW w:type="auto" w:w="0"/>
        <w:jc w:val="center"/>
        <w:tblLayout w:type="fixed"/>
        <w:tblLook w:firstColumn="1" w:firstRow="1" w:lastColumn="0" w:lastRow="0" w:noHBand="0" w:noVBand="1" w:val="04A0"/>
      </w:tblPr>
      <w:tblGrid>
        <w:gridCol w:w="4762"/>
        <w:gridCol w:w="4762"/>
      </w:tblGrid>
      <w:tr>
        <w:tc>
          <w:tcPr>
            <w:tcW w:type="dxa" w:w="232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要点</w:t>
            </w:r>
          </w:p>
        </w:tc>
        <w:tc>
          <w:tcPr>
            <w:tcW w:type="dxa" w:w="6576"/>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项目定位与目标摘要</w:t>
            </w:r>
          </w:p>
        </w:tc>
      </w:tr>
      <w:tr>
        <w:tc>
          <w:tcPr>
            <w:tcW w:type="dxa" w:w="232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总体目标</w:t>
            </w:r>
          </w:p>
        </w:tc>
        <w:tc>
          <w:tcPr>
            <w:tcW w:type="dxa" w:w="6576"/>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形成可持续积累、可复用、可扩展的人才发现与洞察平台，服务招聘搜索、筛选、画像、沉淀与后续地图能力对接。</w:t>
            </w:r>
          </w:p>
        </w:tc>
      </w:tr>
      <w:tr>
        <w:tc>
          <w:tcPr>
            <w:tcW w:type="dxa" w:w="232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阶段目标</w:t>
            </w:r>
          </w:p>
        </w:tc>
        <w:tc>
          <w:tcPr>
            <w:tcW w:type="dxa" w:w="6576"/>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第一阶段完成学术人才子系统 MVP 的主链路闭环，并验证人才库总览、关键字搜索、按国家/学校浏览、学校详情、学校人才列表与权限控制的可用性。</w:t>
            </w:r>
          </w:p>
        </w:tc>
      </w:tr>
      <w:tr>
        <w:tc>
          <w:tcPr>
            <w:tcW w:type="dxa" w:w="232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长期方向</w:t>
            </w:r>
          </w:p>
        </w:tc>
        <w:tc>
          <w:tcPr>
            <w:tcW w:type="dxa" w:w="6576"/>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逐步扩展到开源生态人才、行业/工业界人才、竞赛人才、校园招聘博士专项人才池，并与人才管理系统相关地图能力联通。</w:t>
            </w:r>
          </w:p>
        </w:tc>
      </w:tr>
    </w:tbl>
    <w:p/>
    <w:p>
      <w:pPr>
        <w:pStyle w:val="Heading1"/>
        <w:spacing w:before="200" w:after="120"/>
      </w:pPr>
      <w:r>
        <w:rPr>
          <w:rFonts w:ascii="Noto Sans CJK SC" w:hAnsi="Noto Sans CJK SC" w:eastAsia="Noto Sans CJK SC"/>
          <w:b/>
          <w:color w:val="1F345A"/>
          <w:sz w:val="28"/>
        </w:rPr>
        <w:t>4. 关键干系人、用户与使用目标</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D9E2F3"/>
          </w:tcPr>
          <w:p>
            <w:r>
              <w:t>角色类别</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D9E2F3"/>
          </w:tcPr>
          <w:p>
            <w:r>
              <w:t>代表对象</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D9E2F3"/>
          </w:tcPr>
          <w:p>
            <w:r>
              <w:t>核心关注点</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D9E2F3"/>
          </w:tcPr>
          <w:p>
            <w:r>
              <w:t>在需求分析中的重点</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业务决策与项目 Owner</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项目发起人 / Owner</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项目价值、阶段边界、投入产出、验收标准</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确保整体方向、阶段策略和质量要求清晰</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直接使用者</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招聘 HR、用人经理</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搜人效率、判断效率、导出与复用</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以真实招聘动作定义主流程与优先级</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交付团队</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产品、设计、开发、测试</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需求清晰、边界明确、可拆解落地</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形成后续方案设计与任务包拆分的基线</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后续协同方</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人才管理/地图能力相关团队</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对象标准、接口预留、后续集成可行性</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保证整体架构具备演进空间</w:t>
            </w:r>
          </w:p>
        </w:tc>
      </w:tr>
    </w:tbl>
    <w:p/>
    <w:p>
      <w:pPr>
        <w:pStyle w:val="Heading1"/>
        <w:spacing w:before="200" w:after="120"/>
      </w:pPr>
      <w:r>
        <w:rPr>
          <w:rFonts w:ascii="Noto Sans CJK SC" w:hAnsi="Noto Sans CJK SC" w:eastAsia="Noto Sans CJK SC"/>
          <w:b/>
          <w:color w:val="1F345A"/>
          <w:sz w:val="28"/>
        </w:rPr>
        <w:t>5. 项目总体范围与子系统构成</w:t>
      </w:r>
    </w:p>
    <w:p>
      <w:pPr>
        <w:spacing w:line="324" w:lineRule="auto" w:after="100" w:before="0"/>
        <w:ind w:firstLine="420"/>
      </w:pPr>
      <w:r>
        <w:rPr>
          <w:rFonts w:ascii="Noto Sans CJK SC" w:hAnsi="Noto Sans CJK SC" w:eastAsia="Noto Sans CJK SC"/>
          <w:color w:val="333333"/>
          <w:sz w:val="21"/>
        </w:rPr>
        <w:t>整体智能人才库项目围绕“多来源人才信息接入—结构化人才对象构建—搜索与洞察—人才池沉淀—地图能力对接”的主线展开。需求分析阶段需先定义整体范围，再明确第一阶段只落学术人才子系统 MVP。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DF3E8"/>
          </w:tcPr>
          <w:p>
            <w:r>
              <w:t>子域 / 能力域</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DF3E8"/>
          </w:tcPr>
          <w:p>
            <w:r>
              <w:t>阶段属性</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DF3E8"/>
          </w:tcPr>
          <w:p>
            <w:r>
              <w:t>需求定位</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DF3E8"/>
          </w:tcPr>
          <w:p>
            <w:r>
              <w:t>当前优先级</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学术人才子系统</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以 OpenAlex 为第一阶段 Source Layer，验证数据接入、画像、搜索、详情、导出闭环</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最高</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开源生态人才子系统</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后续阶段</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围绕开源贡献、项目影响力、社区活跃度形成候选人画像</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中</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行业 / 工业界人才子系统</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后续阶段</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围绕企业经历、技术方向、岗位履历和行业影响力扩展</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中</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竞赛人才子系统</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后续阶段</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面向竞赛成果、排名、题型方向等形成专项人才池</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中</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校园招聘博士人才池</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专项扩展</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作为招聘专项场景，与校招动作、导师网络和学科方向联动</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中高</w:t>
            </w:r>
          </w:p>
        </w:tc>
      </w:tr>
      <w:tr>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与人才地图 / 技术地图 / 合作地图对接</w:t>
            </w:r>
          </w:p>
        </w:tc>
        <w:tc>
          <w:tcPr>
            <w:tcW w:type="dxa" w:w="130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平台演进</w:t>
            </w:r>
          </w:p>
        </w:tc>
        <w:tc>
          <w:tcPr>
            <w:tcW w:type="dxa" w:w="396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统一人才对象、关系边、标签体系与接口预留</w:t>
            </w:r>
          </w:p>
        </w:tc>
        <w:tc>
          <w:tcPr>
            <w:tcW w:type="dxa" w:w="1587"/>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高</w:t>
            </w:r>
          </w:p>
        </w:tc>
      </w:tr>
    </w:tbl>
    <w:p/>
    <w:p>
      <w:pPr>
        <w:pStyle w:val="Heading1"/>
        <w:spacing w:before="200" w:after="120"/>
      </w:pPr>
      <w:r>
        <w:rPr>
          <w:rFonts w:ascii="Noto Sans CJK SC" w:hAnsi="Noto Sans CJK SC" w:eastAsia="Noto Sans CJK SC"/>
          <w:b/>
          <w:color w:val="1F345A"/>
          <w:sz w:val="28"/>
        </w:rPr>
        <w:t>6. 项目总体业务场景</w:t>
      </w:r>
    </w:p>
    <w:p>
      <w:pPr>
        <w:spacing w:line="324" w:lineRule="auto" w:after="100" w:before="0"/>
        <w:ind w:firstLine="420"/>
      </w:pPr>
      <w:r>
        <w:rPr>
          <w:rFonts w:ascii="Noto Sans CJK SC" w:hAnsi="Noto Sans CJK SC" w:eastAsia="Noto Sans CJK SC"/>
          <w:color w:val="333333"/>
          <w:sz w:val="21"/>
        </w:rPr>
        <w:t>项目级需求分析不展开到每个页面和字段，但需要识别整体项目必须支撑的共性业务场景，并据此指导后续各子系统的需求细化。</w:t>
      </w:r>
    </w:p>
    <w:p>
      <w:pPr>
        <w:pStyle w:val="ListBullet"/>
        <w:spacing w:line="300" w:lineRule="auto" w:after="40"/>
      </w:pPr>
      <w:r>
        <w:rPr>
          <w:rFonts w:ascii="Noto Sans CJK SC" w:hAnsi="Noto Sans CJK SC" w:eastAsia="Noto Sans CJK SC"/>
          <w:color w:val="333333"/>
          <w:sz w:val="21"/>
        </w:rPr>
        <w:t>人才发现：围绕某一技术方向、研究主题或专项招聘任务，快速锁定潜在候选人集合。</w:t>
      </w:r>
    </w:p>
    <w:p>
      <w:pPr>
        <w:pStyle w:val="ListBullet"/>
        <w:spacing w:line="300" w:lineRule="auto" w:after="40"/>
      </w:pPr>
      <w:r>
        <w:rPr>
          <w:rFonts w:ascii="Noto Sans CJK SC" w:hAnsi="Noto Sans CJK SC" w:eastAsia="Noto Sans CJK SC"/>
          <w:color w:val="333333"/>
          <w:sz w:val="21"/>
        </w:rPr>
        <w:t>人才比较：在多个候选人之间进行横向对比，辅助优先级判断。</w:t>
      </w:r>
    </w:p>
    <w:p>
      <w:pPr>
        <w:pStyle w:val="ListBullet"/>
        <w:spacing w:line="300" w:lineRule="auto" w:after="40"/>
      </w:pPr>
      <w:r>
        <w:rPr>
          <w:rFonts w:ascii="Noto Sans CJK SC" w:hAnsi="Noto Sans CJK SC" w:eastAsia="Noto Sans CJK SC"/>
          <w:color w:val="333333"/>
          <w:sz w:val="21"/>
        </w:rPr>
        <w:t>人才画像查看：围绕成果、经历、方向、合作网络、活跃度等信息形成结构化认知。</w:t>
      </w:r>
    </w:p>
    <w:p>
      <w:pPr>
        <w:pStyle w:val="ListBullet"/>
        <w:spacing w:line="300" w:lineRule="auto" w:after="40"/>
      </w:pPr>
      <w:r>
        <w:rPr>
          <w:rFonts w:ascii="Noto Sans CJK SC" w:hAnsi="Noto Sans CJK SC" w:eastAsia="Noto Sans CJK SC"/>
          <w:color w:val="333333"/>
          <w:sz w:val="21"/>
        </w:rPr>
        <w:t>专项人才池沉淀：将一轮检索结果沉淀为后续可复用的 TOP 候选人名单或专项人才池。</w:t>
      </w:r>
    </w:p>
    <w:p>
      <w:pPr>
        <w:pStyle w:val="ListBullet"/>
        <w:spacing w:line="300" w:lineRule="auto" w:after="40"/>
      </w:pPr>
      <w:r>
        <w:rPr>
          <w:rFonts w:ascii="Noto Sans CJK SC" w:hAnsi="Noto Sans CJK SC" w:eastAsia="Noto Sans CJK SC"/>
          <w:color w:val="333333"/>
          <w:sz w:val="21"/>
        </w:rPr>
        <w:t>长期积累与联动：支撑后续人才地图、技术地图、合作地图以及专项招聘池建设。</w:t>
      </w:r>
    </w:p>
    <w:p>
      <w:pPr>
        <w:pStyle w:val="ListBullet"/>
      </w:pPr>
      <w:r>
        <w:t>人才库总览：让用户快速看到当前系统已覆盖的高校数量及教授类、学生类人才规模，建立对数据价值的第一印象。</w:t>
      </w:r>
    </w:p>
    <w:p>
      <w:pPr>
        <w:pStyle w:val="ListBullet"/>
      </w:pPr>
      <w:r>
        <w:t>学校分层浏览：支持按国家查看学校列表，并从学校进入学校信息页与该校人才列表，形成从区域到院校的人才发现路径。</w:t>
      </w:r>
    </w:p>
    <w:p>
      <w:pPr>
        <w:pStyle w:val="ListBullet"/>
      </w:pPr>
      <w:r>
        <w:t>权限控制：支持按用户授权范围控制其可见学校及其对应人才、统计信息与搜索结果。</w:t>
      </w:r>
    </w:p>
    <w:p>
      <w:pPr>
        <w:pStyle w:val="Heading1"/>
        <w:spacing w:before="200" w:after="120"/>
      </w:pPr>
      <w:r>
        <w:rPr>
          <w:rFonts w:ascii="Noto Sans CJK SC" w:hAnsi="Noto Sans CJK SC" w:eastAsia="Noto Sans CJK SC"/>
          <w:b/>
          <w:color w:val="1F345A"/>
          <w:sz w:val="28"/>
        </w:rPr>
        <w:t>7. 项目总体能力需求</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7EEE1"/>
          </w:tcPr>
          <w:p>
            <w:r>
              <w:t>能力域</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7EEE1"/>
          </w:tcPr>
          <w:p>
            <w:r>
              <w:t>需求说明</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7EEE1"/>
          </w:tcPr>
          <w:p>
            <w:r>
              <w:t>本阶段要求</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数据接入能力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支持多来源人才数据的接入、清洗、映射、同步与质量追踪。</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第一阶段至少完成 OpenAlex 接入，并预留后续采集服务建设空间</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人才对象能力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建立统一的人才主对象及与机构、成果、主题、关系等对象的关联。</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第一阶段先完成学术候选人的领域对象抽象</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搜索与筛选能力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支持按方向、机构、成果、活跃度等进行查询和缩小范围。</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第一阶段实现学术人才主链路所需搜索能力</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画像与洞察能力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为候选人提供结构化画像、代表成果、方向标签和基础关系洞察。</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第一阶段实现基础画像与合作关系展示</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人才池沉淀能力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支持收藏、导出、复用和后续专项池建设。</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第一阶段至少支持导出与候选人沉淀</w:t>
            </w:r>
          </w:p>
        </w:tc>
      </w:tr>
      <w:tr>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平台对接能力</w:t>
            </w:r>
          </w:p>
        </w:tc>
        <w:tc>
          <w:tcPr>
            <w:tcW w:type="dxa" w:w="453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支持与地图类能力、人才管理系统和后续业务模块联通。</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本阶段完成对象、标签、接口层预留</w:t>
            </w:r>
          </w:p>
        </w:tc>
      </w:tr>
      <w:tr>
        <w:tc>
          <w:tcPr>
            <w:tcW w:type="dxa" w:w="3175"/>
          </w:tcPr>
          <w:p>
            <w:r>
              <w:t>总览统计能力</w:t>
            </w:r>
          </w:p>
        </w:tc>
        <w:tc>
          <w:tcPr>
            <w:tcW w:type="dxa" w:w="3175"/>
          </w:tcPr>
          <w:p>
            <w:r>
              <w:t>展示已收录高校数量、教授类人才数量、学生类人才数量等核心指标。</w:t>
            </w:r>
          </w:p>
        </w:tc>
        <w:tc>
          <w:tcPr>
            <w:tcW w:type="dxa" w:w="3175"/>
          </w:tcPr>
          <w:p>
            <w:r>
              <w:t>第一阶段提供首页/总览区展示，并明确统计口径与更新机制</w:t>
            </w:r>
          </w:p>
        </w:tc>
      </w:tr>
      <w:tr>
        <w:tc>
          <w:tcPr>
            <w:tcW w:type="dxa" w:w="3175"/>
          </w:tcPr>
          <w:p>
            <w:r>
              <w:t>学校目录与学校详情能力</w:t>
            </w:r>
          </w:p>
        </w:tc>
        <w:tc>
          <w:tcPr>
            <w:tcW w:type="dxa" w:w="3175"/>
          </w:tcPr>
          <w:p>
            <w:r>
              <w:t>支持按国家浏览学校列表，并查看学校介绍、教授/学生人数等学校级信息，再进入学校人才列表。</w:t>
            </w:r>
          </w:p>
        </w:tc>
        <w:tc>
          <w:tcPr>
            <w:tcW w:type="dxa" w:w="3175"/>
          </w:tcPr>
          <w:p>
            <w:r>
              <w:t>第一阶段按学校维度落地，学院/实验室仅做数据与交互预留</w:t>
            </w:r>
          </w:p>
        </w:tc>
      </w:tr>
      <w:tr>
        <w:tc>
          <w:tcPr>
            <w:tcW w:type="dxa" w:w="3175"/>
          </w:tcPr>
          <w:p>
            <w:r>
              <w:t>权限控制能力</w:t>
            </w:r>
          </w:p>
        </w:tc>
        <w:tc>
          <w:tcPr>
            <w:tcW w:type="dxa" w:w="3175"/>
          </w:tcPr>
          <w:p>
            <w:r>
              <w:t>支持管理员按学校范围配置用户可查看数据范围，并在统计、搜索、列表和详情中统一生效。</w:t>
            </w:r>
          </w:p>
        </w:tc>
        <w:tc>
          <w:tcPr>
            <w:tcW w:type="dxa" w:w="3175"/>
          </w:tcPr>
          <w:p>
            <w:r>
              <w:t>第一阶段以学校范围授权为主，不展开更细粒度权限模型</w:t>
            </w:r>
          </w:p>
        </w:tc>
      </w:tr>
    </w:tbl>
    <w:p/>
    <w:p>
      <w:pPr>
        <w:pStyle w:val="Heading1"/>
        <w:spacing w:before="200" w:after="120"/>
      </w:pPr>
      <w:r>
        <w:rPr>
          <w:rFonts w:ascii="Noto Sans CJK SC" w:hAnsi="Noto Sans CJK SC" w:eastAsia="Noto Sans CJK SC"/>
          <w:b/>
          <w:color w:val="1F345A"/>
          <w:sz w:val="28"/>
        </w:rPr>
        <w:t>8. 分阶段建设策略</w:t>
      </w:r>
    </w:p>
    <w:p>
      <w:pPr>
        <w:spacing w:line="324" w:lineRule="auto" w:after="100" w:before="0"/>
        <w:ind w:firstLine="420"/>
      </w:pPr>
      <w:r>
        <w:rPr>
          <w:rFonts w:ascii="Noto Sans CJK SC" w:hAnsi="Noto Sans CJK SC" w:eastAsia="Noto Sans CJK SC"/>
          <w:color w:val="333333"/>
          <w:sz w:val="21"/>
        </w:rPr>
        <w:t>需求分析阶段应明确整体项目的阶段性建设节奏，避免第一阶段被误解为整体项目的全部内容。建议采用“三步走”策略。</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53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9F4F4"/>
          </w:tcPr>
          <w:p>
            <w:r>
              <w:t>阶段</w:t>
            </w:r>
          </w:p>
        </w:tc>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9F4F4"/>
          </w:tcPr>
          <w:p>
            <w:r>
              <w:t>目标</w:t>
            </w:r>
          </w:p>
        </w:tc>
        <w:tc>
          <w:tcPr>
            <w:tcW w:type="dxa" w:w="311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9F4F4"/>
          </w:tcPr>
          <w:p>
            <w:r>
              <w:t>重点交付</w:t>
            </w:r>
          </w:p>
        </w:tc>
        <w:tc>
          <w:tcPr>
            <w:tcW w:type="dxa" w:w="215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9F4F4"/>
          </w:tcPr>
          <w:p>
            <w:r>
              <w:t>说明</w:t>
            </w:r>
          </w:p>
        </w:tc>
      </w:tr>
      <w:tr>
        <w:tc>
          <w:tcPr>
            <w:tcW w:type="dxa" w:w="153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阶段一</w:t>
            </w:r>
          </w:p>
        </w:tc>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学术人才子系统 MVP</w:t>
            </w:r>
          </w:p>
        </w:tc>
        <w:tc>
          <w:tcPr>
            <w:tcW w:type="dxa" w:w="311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OpenAlex 接入、画像、搜索筛选、详情查看、导出</w:t>
            </w:r>
          </w:p>
        </w:tc>
        <w:tc>
          <w:tcPr>
            <w:tcW w:type="dxa" w:w="215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验证首条高价值链路，按正式系统质量标准交付</w:t>
            </w:r>
          </w:p>
        </w:tc>
      </w:tr>
      <w:tr>
        <w:tc>
          <w:tcPr>
            <w:tcW w:type="dxa" w:w="153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阶段二</w:t>
            </w:r>
          </w:p>
        </w:tc>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多源扩展与统一对象增强</w:t>
            </w:r>
          </w:p>
        </w:tc>
        <w:tc>
          <w:tcPr>
            <w:tcW w:type="dxa" w:w="311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开源/工业/竞赛/博士池扩展、标签增强、统一对象抽象</w:t>
            </w:r>
          </w:p>
        </w:tc>
        <w:tc>
          <w:tcPr>
            <w:tcW w:type="dxa" w:w="215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逐步降低对单一数据源的依赖</w:t>
            </w:r>
          </w:p>
        </w:tc>
      </w:tr>
      <w:tr>
        <w:tc>
          <w:tcPr>
            <w:tcW w:type="dxa" w:w="153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阶段三</w:t>
            </w:r>
          </w:p>
        </w:tc>
        <w:tc>
          <w:tcPr>
            <w:tcW w:type="dxa" w:w="238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平台联动与地图融合</w:t>
            </w:r>
          </w:p>
        </w:tc>
        <w:tc>
          <w:tcPr>
            <w:tcW w:type="dxa" w:w="311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与人才地图、技术地图、合作地图及其他管理能力对接</w:t>
            </w:r>
          </w:p>
        </w:tc>
        <w:tc>
          <w:tcPr>
            <w:tcW w:type="dxa" w:w="215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形成更完整的人才智能底座</w:t>
            </w:r>
          </w:p>
        </w:tc>
      </w:tr>
    </w:tbl>
    <w:p/>
    <w:p>
      <w:pPr>
        <w:pStyle w:val="Heading1"/>
        <w:spacing w:before="200" w:after="120"/>
      </w:pPr>
      <w:r>
        <w:rPr>
          <w:rFonts w:ascii="Noto Sans CJK SC" w:hAnsi="Noto Sans CJK SC" w:eastAsia="Noto Sans CJK SC"/>
          <w:b/>
          <w:color w:val="1F345A"/>
          <w:sz w:val="28"/>
        </w:rPr>
        <w:t>9. 总体非功能性要求</w:t>
      </w:r>
    </w:p>
    <w:p>
      <w:pPr>
        <w:spacing w:line="324" w:lineRule="auto" w:after="100" w:before="0"/>
        <w:ind w:firstLine="420"/>
      </w:pPr>
      <w:r>
        <w:rPr>
          <w:rFonts w:ascii="Noto Sans CJK SC" w:hAnsi="Noto Sans CJK SC" w:eastAsia="Noto Sans CJK SC"/>
          <w:color w:val="333333"/>
          <w:sz w:val="21"/>
        </w:rPr>
        <w:t>尽管第一阶段以内部团队试用为目标，但本项目不以“试用”或“MVP”为理由降低质量标准。项目级需求分析应先明确以下总体非功能性要求，详细指标在子系统需求规格说明书及方案设计阶段进一步量化。</w:t>
      </w:r>
    </w:p>
    <w:p>
      <w:pPr>
        <w:pStyle w:val="ListBullet"/>
        <w:spacing w:line="300" w:lineRule="auto" w:after="40"/>
      </w:pPr>
      <w:r>
        <w:rPr>
          <w:rFonts w:ascii="Noto Sans CJK SC" w:hAnsi="Noto Sans CJK SC" w:eastAsia="Noto Sans CJK SC"/>
          <w:color w:val="333333"/>
          <w:sz w:val="21"/>
        </w:rPr>
        <w:t>工程质量：代码规范、模块解耦、日志、错误处理、基础测试与可维护性要求清晰。</w:t>
      </w:r>
    </w:p>
    <w:p>
      <w:pPr>
        <w:pStyle w:val="ListBullet"/>
        <w:spacing w:line="300" w:lineRule="auto" w:after="40"/>
      </w:pPr>
      <w:r>
        <w:rPr>
          <w:rFonts w:ascii="Noto Sans CJK SC" w:hAnsi="Noto Sans CJK SC" w:eastAsia="Noto Sans CJK SC"/>
          <w:color w:val="333333"/>
          <w:sz w:val="21"/>
        </w:rPr>
        <w:t>UX/UI 体验：核心链路操作顺畅，信息层级清晰，空态/加载态/异常态设计完整。</w:t>
      </w:r>
    </w:p>
    <w:p>
      <w:pPr>
        <w:pStyle w:val="ListBullet"/>
        <w:spacing w:line="300" w:lineRule="auto" w:after="40"/>
      </w:pPr>
      <w:r>
        <w:rPr>
          <w:rFonts w:ascii="Noto Sans CJK SC" w:hAnsi="Noto Sans CJK SC" w:eastAsia="Noto Sans CJK SC"/>
          <w:color w:val="333333"/>
          <w:sz w:val="21"/>
        </w:rPr>
        <w:t>稳定性：关键任务可重试、数据同步可追踪、核心流程可稳定演示并支持真实试用。</w:t>
      </w:r>
    </w:p>
    <w:p>
      <w:pPr>
        <w:pStyle w:val="ListBullet"/>
        <w:spacing w:line="300" w:lineRule="auto" w:after="40"/>
      </w:pPr>
      <w:r>
        <w:rPr>
          <w:rFonts w:ascii="Noto Sans CJK SC" w:hAnsi="Noto Sans CJK SC" w:eastAsia="Noto Sans CJK SC"/>
          <w:color w:val="333333"/>
          <w:sz w:val="21"/>
        </w:rPr>
        <w:t>可扩展性：业务模型与单一数据源解耦，支持后续多源接入与统一人才对象演进。</w:t>
      </w:r>
    </w:p>
    <w:p>
      <w:pPr>
        <w:pStyle w:val="ListBullet"/>
        <w:spacing w:line="300" w:lineRule="auto" w:after="40"/>
      </w:pPr>
      <w:r>
        <w:rPr>
          <w:rFonts w:ascii="Noto Sans CJK SC" w:hAnsi="Noto Sans CJK SC" w:eastAsia="Noto Sans CJK SC"/>
          <w:color w:val="333333"/>
          <w:sz w:val="21"/>
        </w:rPr>
        <w:t>安全与权限：内部访问控制、导出边界、数据字段展示范围应可管理。</w:t>
      </w:r>
    </w:p>
    <w:p>
      <w:pPr>
        <w:pStyle w:val="Heading1"/>
        <w:spacing w:before="200" w:after="120"/>
      </w:pPr>
      <w:r>
        <w:rPr>
          <w:rFonts w:ascii="Noto Sans CJK SC" w:hAnsi="Noto Sans CJK SC" w:eastAsia="Noto Sans CJK SC"/>
          <w:b/>
          <w:color w:val="1F345A"/>
          <w:sz w:val="28"/>
        </w:rPr>
        <w:t>10. 数据与架构演进原则</w:t>
      </w:r>
    </w:p>
    <w:p>
      <w:pPr>
        <w:spacing w:line="324" w:lineRule="auto" w:after="100" w:before="0"/>
        <w:ind w:firstLine="420"/>
      </w:pPr>
      <w:r>
        <w:rPr>
          <w:rFonts w:ascii="Noto Sans CJK SC" w:hAnsi="Noto Sans CJK SC" w:eastAsia="Noto Sans CJK SC"/>
          <w:color w:val="333333"/>
          <w:sz w:val="21"/>
        </w:rPr>
        <w:t>OpenAlex 在第一阶段仅定位为学术人才子系统的 Source Layer，而不是整体智能人才库未来的唯一数据模型来源。为避免业务模型与单一外部源强耦合，需求分析阶段应提前确立分层演进原则。</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2ECF7"/>
          </w:tcPr>
          <w:p>
            <w:r>
              <w:t>分层</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2ECF7"/>
          </w:tcPr>
          <w:p>
            <w:r>
              <w:t>当前定位</w:t>
            </w:r>
          </w:p>
        </w:tc>
        <w:tc>
          <w:tcPr>
            <w:tcW w:type="dxa" w:w="464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F2ECF7"/>
          </w:tcPr>
          <w:p>
            <w:r>
              <w:t>需求分析要求</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Source Layer</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外部原始数据来源</w:t>
            </w:r>
          </w:p>
        </w:tc>
        <w:tc>
          <w:tcPr>
            <w:tcW w:type="dxa" w:w="464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第一阶段以 OpenAlex 为主，后续视需要建设自有采集服务与其他来源接入</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Ingestion / Collection Layer</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接入与采集层</w:t>
            </w:r>
          </w:p>
        </w:tc>
        <w:tc>
          <w:tcPr>
            <w:tcW w:type="dxa" w:w="464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预留定时拉取、增量同步、清洗、去重和质量监控能力</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Domain / Model Layer</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领域模型层</w:t>
            </w:r>
          </w:p>
        </w:tc>
        <w:tc>
          <w:tcPr>
            <w:tcW w:type="dxa" w:w="464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面向总览、学校浏览、学校详情、搜索、画像、筛选、导出、权限控制与地图对接提供服务</w:t>
            </w:r>
          </w:p>
        </w:tc>
      </w:tr>
      <w:tr>
        <w:tc>
          <w:tcPr>
            <w:tcW w:type="dxa" w:w="1814"/>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Application Layer</w:t>
            </w:r>
          </w:p>
        </w:tc>
        <w:tc>
          <w:tcPr>
            <w:tcW w:type="dxa" w:w="2268"/>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应用服务层</w:t>
            </w:r>
          </w:p>
        </w:tc>
        <w:tc>
          <w:tcPr>
            <w:tcW w:type="dxa" w:w="4649"/>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面向搜索、画像、筛选、导出、人才池沉淀与地图对接提供服务</w:t>
            </w:r>
          </w:p>
        </w:tc>
      </w:tr>
    </w:tbl>
    <w:p/>
    <w:p>
      <w:pPr>
        <w:pStyle w:val="Heading1"/>
        <w:spacing w:before="200" w:after="120"/>
      </w:pPr>
      <w:r>
        <w:rPr>
          <w:rFonts w:ascii="Noto Sans CJK SC" w:hAnsi="Noto Sans CJK SC" w:eastAsia="Noto Sans CJK SC"/>
          <w:b/>
          <w:color w:val="1F345A"/>
          <w:sz w:val="28"/>
        </w:rPr>
        <w:t>11. 边界、假设与主要风险</w:t>
      </w:r>
    </w:p>
    <w:p>
      <w:pPr>
        <w:pStyle w:val="ListBullet"/>
        <w:spacing w:line="300" w:lineRule="auto" w:after="40"/>
      </w:pPr>
      <w:r>
        <w:rPr>
          <w:rFonts w:ascii="Noto Sans CJK SC" w:hAnsi="Noto Sans CJK SC" w:eastAsia="Noto Sans CJK SC"/>
          <w:color w:val="333333"/>
          <w:sz w:val="21"/>
        </w:rPr>
        <w:t>本文件为项目级需求分析，不替代学术人才子系统的详细页面、字段和交互规格。</w:t>
      </w:r>
    </w:p>
    <w:p>
      <w:pPr>
        <w:pStyle w:val="ListBullet"/>
        <w:spacing w:line="300" w:lineRule="auto" w:after="40"/>
      </w:pPr>
      <w:r>
        <w:rPr>
          <w:rFonts w:ascii="Noto Sans CJK SC" w:hAnsi="Noto Sans CJK SC" w:eastAsia="Noto Sans CJK SC"/>
          <w:color w:val="333333"/>
          <w:sz w:val="21"/>
        </w:rPr>
        <w:t>第一阶段仅对学术人才主链路闭环负责，不要求同步完成其他子系统建设。</w:t>
      </w:r>
    </w:p>
    <w:p>
      <w:pPr>
        <w:pStyle w:val="ListBullet"/>
        <w:spacing w:line="300" w:lineRule="auto" w:after="40"/>
      </w:pPr>
      <w:r>
        <w:rPr>
          <w:rFonts w:ascii="Noto Sans CJK SC" w:hAnsi="Noto Sans CJK SC" w:eastAsia="Noto Sans CJK SC"/>
          <w:color w:val="333333"/>
          <w:sz w:val="21"/>
        </w:rPr>
        <w:t>学术评价口径、方向 taxonomy、排序规则等关键业务定义，仍需在子系统级需求规格与规则文档中继续细化。</w:t>
      </w:r>
    </w:p>
    <w:p>
      <w:pPr>
        <w:pStyle w:val="ListBullet"/>
        <w:spacing w:line="300" w:lineRule="auto" w:after="40"/>
      </w:pPr>
      <w:r>
        <w:rPr>
          <w:rFonts w:ascii="Noto Sans CJK SC" w:hAnsi="Noto Sans CJK SC" w:eastAsia="Noto Sans CJK SC"/>
          <w:color w:val="333333"/>
          <w:sz w:val="21"/>
        </w:rPr>
        <w:t>若后续数据源扩展速度快于统一对象与标签体系建设速度，可能出现各子域标准不一致风险。</w:t>
      </w:r>
    </w:p>
    <w:p>
      <w:pPr>
        <w:pStyle w:val="ListBullet"/>
        <w:spacing w:line="300" w:lineRule="auto" w:after="40"/>
      </w:pPr>
      <w:r>
        <w:rPr>
          <w:rFonts w:ascii="Noto Sans CJK SC" w:hAnsi="Noto Sans CJK SC" w:eastAsia="Noto Sans CJK SC"/>
          <w:color w:val="333333"/>
          <w:sz w:val="21"/>
        </w:rPr>
        <w:t>若需求分析阶段未明确 UX/UI 与质量要求，后续可能出现“功能做完但实际不好用”的交付偏差。</w:t>
      </w:r>
    </w:p>
    <w:p>
      <w:pPr>
        <w:pStyle w:val="ListBullet"/>
      </w:pPr>
      <w:r>
        <w:t>若学校目录、学校统计口径与角色识别规则未在需求阶段明确，后续极易出现页面可展示但业务方不认可的问题。</w:t>
      </w:r>
    </w:p>
    <w:p>
      <w:pPr>
        <w:pStyle w:val="ListBullet"/>
      </w:pPr>
      <w:r>
        <w:t>若权限控制未贯穿总览、搜索、学校页和人才页的一致校验，试用阶段将产生明显的权限边界风险。</w:t>
      </w:r>
    </w:p>
    <w:p>
      <w:pPr>
        <w:pStyle w:val="Heading1"/>
        <w:spacing w:before="200" w:after="120"/>
      </w:pPr>
      <w:r>
        <w:rPr>
          <w:rFonts w:ascii="Noto Sans CJK SC" w:hAnsi="Noto Sans CJK SC" w:eastAsia="Noto Sans CJK SC"/>
          <w:b/>
          <w:color w:val="1F345A"/>
          <w:sz w:val="28"/>
        </w:rPr>
        <w:t>12. 需求分析阶段建议交付物与文档关系</w:t>
      </w:r>
    </w:p>
    <w:p>
      <w:pPr>
        <w:spacing w:line="324" w:lineRule="auto" w:after="100" w:before="0"/>
        <w:ind w:firstLine="420"/>
      </w:pPr>
      <w:r>
        <w:rPr>
          <w:rFonts w:ascii="Noto Sans CJK SC" w:hAnsi="Noto Sans CJK SC" w:eastAsia="Noto Sans CJK SC"/>
          <w:color w:val="333333"/>
          <w:sz w:val="21"/>
        </w:rPr>
        <w:t>围绕整体智能人才库项目，需求分析阶段建议形成“1 份项目级主文档 + 2 份第一阶段子系统文档”的文档组合。</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文档名称</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文档层级</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shd w:fill="EAF1FB"/>
          </w:tcPr>
          <w:p>
            <w:r>
              <w:t>作用</w:t>
            </w:r>
          </w:p>
        </w:tc>
      </w:tr>
      <w:tr>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《智能人才库项目需求分析说明书（项目级）》</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项目级</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定义整体建设目标、总体范围、阶段边界和演进原则</w:t>
            </w:r>
          </w:p>
        </w:tc>
      </w:tr>
      <w:tr>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《智能人才库项目场景需求分析（学术人才子系统MVP）》</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子系统级</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从招聘业务视角明确第一阶段场景、优先级和业务主流程</w:t>
            </w:r>
          </w:p>
        </w:tc>
      </w:tr>
      <w:tr>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《智能人才库项目需求规格说明书（学术人才子系统MVP）》</w:t>
            </w:r>
          </w:p>
        </w:tc>
        <w:tc>
          <w:tcPr>
            <w:tcW w:type="dxa" w:w="1701"/>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子系统级</w:t>
            </w:r>
          </w:p>
        </w:tc>
        <w:tc>
          <w:tcPr>
            <w:tcW w:type="dxa" w:w="3515"/>
            <w:vAlign w:val="center"/>
            <w:tcMar>
              <w:top w:w="85" w:type="dxa"/>
              <w:start w:w="95" w:type="dxa"/>
              <w:bottom w:w="85" w:type="dxa"/>
              <w:end w:w="95" w:type="dxa"/>
            </w:tcMar>
            <w:tcBorders>
              <w:left w:val="single" w:sz="6" w:color="C8D0D9"/>
              <w:top w:val="single" w:sz="6" w:color="C8D0D9"/>
              <w:right w:val="single" w:sz="6" w:color="C8D0D9"/>
              <w:bottom w:val="single" w:sz="6" w:color="C8D0D9"/>
            </w:tcBorders>
          </w:tcPr>
          <w:p>
            <w:r>
              <w:t>定义第一阶段系统范围、功能要求、交互要求、数据要求和验收基线</w:t>
            </w:r>
          </w:p>
        </w:tc>
      </w:tr>
    </w:tbl>
    <w:p/>
    <w:p>
      <w:pPr>
        <w:spacing w:line="324" w:lineRule="auto" w:after="100" w:before="0"/>
        <w:ind w:firstLine="420"/>
      </w:pPr>
      <w:r>
        <w:rPr>
          <w:rFonts w:ascii="Noto Sans CJK SC" w:hAnsi="Noto Sans CJK SC" w:eastAsia="Noto Sans CJK SC"/>
          <w:color w:val="333333"/>
          <w:sz w:val="21"/>
        </w:rPr>
        <w:t>在此基础上，下一阶段建议输出《总体方案设计说明》与《数据与技术架构设计说明》，并进一步拆解为可执行任务包，支撑人 + AI 协同开发落地。</w:t>
      </w:r>
    </w:p>
    <w:sectPr w:rsidR="00FC693F" w:rsidRPr="0006063C" w:rsidSect="00034616">
      <w:footerReference w:type="default" r:id="rId9"/>
      <w:pgSz w:w="11906" w:h="16838"/>
      <w:pgMar w:top="1247" w:right="1134"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787878"/>
        <w:sz w:val="17"/>
      </w:rPr>
      <w:t>智能人才库项目需求分析阶段文档｜项目级</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