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智能人才库项目</w:t>
      </w:r>
    </w:p>
    <w:p>
      <w:pPr>
        <w:pStyle w:val="Subtitle"/>
      </w:pPr>
      <w:r>
        <w:t>需求规格说明书（学术人才子系统 MVP）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2268"/>
        <w:gridCol w:w="5953"/>
      </w:tblGrid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文档阶段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需求分析阶段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文档定位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系统需求规格核心文档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适用范围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学术人才子系统 MVP；服务招聘场景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版本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V1.0</w:t>
            </w:r>
          </w:p>
        </w:tc>
      </w:tr>
      <w:tr>
        <w:tc>
          <w:tcPr>
            <w:tcW w:type="dxa" w:w="2268"/>
            <w:shd w:fill="ED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编制原则</w:t>
            </w:r>
          </w:p>
        </w:tc>
        <w:tc>
          <w:tcPr>
            <w:tcW w:type="dxa" w:w="595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在冻结 MVP 范围前提下，明确功能、数据、页面、接口和非功能要求，为方案设计与开发验收提供依据</w:t>
            </w:r>
          </w:p>
        </w:tc>
      </w:tr>
    </w:tbl>
    <w:p/>
    <w:p>
      <w:pPr>
        <w:pStyle w:val="Heading1"/>
      </w:pPr>
      <w:r>
        <w:t>1. 文档目的与适用范围</w:t>
      </w:r>
    </w:p>
    <w:p>
      <w:pPr/>
      <w:r>
        <w:t>本文件用于定义学术人才子系统 MVP 的系统范围、角色、功能需求、页面要求、数据要求、接口要求及非功能性要求，作为后续总体方案设计、详细设计、任务拆分、开发实现与阶段验收的依据。</w:t>
      </w:r>
    </w:p>
    <w:p>
      <w:pPr>
        <w:pStyle w:val="Heading1"/>
      </w:pPr>
      <w:r>
        <w:t>2. 系统定位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73"/>
        <w:gridCol w:w="4873"/>
      </w:tblGrid>
      <w:tr>
        <w:tc>
          <w:tcPr>
            <w:tcW w:type="dxa" w:w="4873"/>
            <w:shd w:fill="D9E6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项目项</w:t>
            </w:r>
          </w:p>
        </w:tc>
        <w:tc>
          <w:tcPr>
            <w:tcW w:type="dxa" w:w="4873"/>
            <w:shd w:fill="D9E6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sz w:val="20"/>
                <w:rFonts w:eastAsia="Microsoft YaHei" w:ascii="Microsoft YaHei" w:hAnsi="Microsoft YaHei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系统目标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形成一套服务招聘场景的学术人才发现与分析工具，支持总览统计、关键字搜索、按国家/学校浏览、学校详情、学校人才列表、候选人详情、基础排序、权限控制和 TOP 候选人导出。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阶段边界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仅建设学术人才子系统 MVP，不在本阶段接入开源生态、工业界、竞赛和校园博士等其他来源域。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数据定位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OpenAlex 仅作为第一阶段 Source Layer；系统内部领域对象需保持独立性，以支撑后续多源接入。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质量要求</w:t>
            </w:r>
          </w:p>
        </w:tc>
        <w:tc>
          <w:tcPr>
            <w:tcW w:type="dxa" w:w="606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20"/>
                <w:rFonts w:eastAsia="Microsoft YaHei" w:ascii="Microsoft YaHei" w:hAnsi="Microsoft YaHei"/>
              </w:rPr>
              <w:t>内部试用版本按正式业务系统标准要求工程质量、系统稳定性和 UX/UI 体验。</w:t>
            </w:r>
          </w:p>
        </w:tc>
      </w:tr>
    </w:tbl>
    <w:p/>
    <w:p>
      <w:pPr>
        <w:pStyle w:val="Heading1"/>
      </w:pPr>
      <w:r>
        <w:t>3. 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角色</w:t>
            </w:r>
          </w:p>
        </w:tc>
        <w:tc>
          <w:tcPr>
            <w:tcW w:type="dxa" w:w="2835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主要动作</w:t>
            </w:r>
          </w:p>
        </w:tc>
        <w:tc>
          <w:tcPr>
            <w:tcW w:type="dxa" w:w="3912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权限边界 / 使用重点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招聘 HR / 招聘项目负责人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搜索、筛选、查看详情、导出名单。</w:t>
            </w:r>
          </w:p>
        </w:tc>
        <w:tc>
          <w:tcPr>
            <w:tcW w:type="dxa" w:w="39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关注招聘效率与候选人池形成。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用人经理 / 技术评审支持者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查看详情、辅助研判、参与重点人选识别。</w:t>
            </w:r>
          </w:p>
        </w:tc>
        <w:tc>
          <w:tcPr>
            <w:tcW w:type="dxa" w:w="39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关注研究方向、成果质量与活跃度。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项目 Owner / 管理者</w:t>
            </w:r>
          </w:p>
        </w:tc>
        <w:tc>
          <w:tcPr>
            <w:tcW w:type="dxa" w:w="283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配置、验收、组织试用与复盘。</w:t>
            </w:r>
          </w:p>
        </w:tc>
        <w:tc>
          <w:tcPr>
            <w:tcW w:type="dxa" w:w="391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关注系统价值、规则合理性和后续扩展。</w:t>
            </w:r>
          </w:p>
        </w:tc>
      </w:tr>
      <w:tr>
        <w:tc>
          <w:tcPr>
            <w:tcW w:type="dxa" w:w="3249"/>
          </w:tcPr>
          <w:p>
            <w:r>
              <w:t>管理员</w:t>
            </w:r>
          </w:p>
        </w:tc>
        <w:tc>
          <w:tcPr>
            <w:tcW w:type="dxa" w:w="3249"/>
          </w:tcPr>
          <w:p>
            <w:r>
              <w:t>配置用户、授权学校范围、维护基础配置。</w:t>
            </w:r>
          </w:p>
        </w:tc>
        <w:tc>
          <w:tcPr>
            <w:tcW w:type="dxa" w:w="3249"/>
          </w:tcPr>
          <w:p>
            <w:r>
              <w:t>关注权限边界、可见范围与配置生效。</w:t>
            </w:r>
          </w:p>
        </w:tc>
      </w:tr>
    </w:tbl>
    <w:p/>
    <w:p>
      <w:pPr>
        <w:pStyle w:val="Heading1"/>
      </w:pPr>
      <w:r>
        <w:t>4. 范围定义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学术数据接入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接入 OpenAlex 学术数据，并支撑基础同步。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可完成数据获取与增量更新基础链路。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人才库总览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首页或总览区展示已收录高校数量、教授类人才数量、学生类人才数量。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统计口径明确，授权范围内数据展示正确。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学校分类浏览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支持按国家浏览学校，并进入学校信息页和学校人才列表。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学校浏览路径清晰，首阶段围绕学校维度闭环。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学校详情页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展示学校介绍、所属国家/地区、教授人数、学生人数等基础信息。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学校页信息足以支撑进一步下钻。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Scope-05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学校人才列表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按学校查看候选人列表，并展示角色、方向、基础成果信息。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无需进入详情页即可完成第一轮初筛。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Scope-06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候选人画像与详情页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展示候选人基础信息、研究方向、代表成果和关系信息。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能支持初步判断是否值得跟进。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Scope-07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基础排序与导出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支持基础优先级排序与 TOP 候选人导出。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排序可解释，导出字段稳定。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Scope-08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权限配置与访问控制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支持管理员按学校范围配置用户可见数据范围。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In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总览、搜索、学校页和人才页统一受控。</w:t>
            </w:r>
          </w:p>
        </w:tc>
      </w:tr>
      <w:tr>
        <w:tc>
          <w:tcPr>
            <w:tcW w:type="dxa" w:w="1949"/>
          </w:tcPr>
          <w:p>
            <w:r>
              <w:t>Scope-09</w:t>
            </w:r>
          </w:p>
        </w:tc>
        <w:tc>
          <w:tcPr>
            <w:tcW w:type="dxa" w:w="1949"/>
          </w:tcPr>
          <w:p>
            <w:r>
              <w:t>学院 / 实验室细分浏览</w:t>
            </w:r>
          </w:p>
        </w:tc>
        <w:tc>
          <w:tcPr>
            <w:tcW w:type="dxa" w:w="1949"/>
          </w:tcPr>
          <w:p>
            <w:r>
              <w:t>在数据模型、接口和交互上预留学院/实验室维度。</w:t>
            </w:r>
          </w:p>
        </w:tc>
        <w:tc>
          <w:tcPr>
            <w:tcW w:type="dxa" w:w="1949"/>
          </w:tcPr>
          <w:p>
            <w:r>
              <w:t>Partial</w:t>
            </w:r>
          </w:p>
        </w:tc>
        <w:tc>
          <w:tcPr>
            <w:tcW w:type="dxa" w:w="1949"/>
          </w:tcPr>
          <w:p>
            <w:r>
              <w:t>第一阶段不要求形成完整稳定能力。</w:t>
            </w:r>
          </w:p>
        </w:tc>
      </w:tr>
      <w:tr>
        <w:tc>
          <w:tcPr>
            <w:tcW w:type="dxa" w:w="1949"/>
          </w:tcPr>
          <w:p>
            <w:r>
              <w:t>Scope-10</w:t>
            </w:r>
          </w:p>
        </w:tc>
        <w:tc>
          <w:tcPr>
            <w:tcW w:type="dxa" w:w="1949"/>
          </w:tcPr>
          <w:p>
            <w:r>
              <w:t>其他来源域</w:t>
            </w:r>
          </w:p>
        </w:tc>
        <w:tc>
          <w:tcPr>
            <w:tcW w:type="dxa" w:w="1949"/>
          </w:tcPr>
          <w:p>
            <w:r>
              <w:t>开源、工业、竞赛、校园博士等。</w:t>
            </w:r>
          </w:p>
        </w:tc>
        <w:tc>
          <w:tcPr>
            <w:tcW w:type="dxa" w:w="1949"/>
          </w:tcPr>
          <w:p>
            <w:r>
              <w:t>Out</w:t>
            </w:r>
          </w:p>
        </w:tc>
        <w:tc>
          <w:tcPr>
            <w:tcW w:type="dxa" w:w="1949"/>
          </w:tcPr>
          <w:p>
            <w:r>
              <w:t>只做架构预留，不做真实接入。</w:t>
            </w:r>
          </w:p>
        </w:tc>
      </w:tr>
      <w:tr>
        <w:tc>
          <w:tcPr>
            <w:tcW w:type="dxa" w:w="1949"/>
          </w:tcPr>
          <w:p>
            <w:r>
              <w:t>Scope-11</w:t>
            </w:r>
          </w:p>
        </w:tc>
        <w:tc>
          <w:tcPr>
            <w:tcW w:type="dxa" w:w="1949"/>
          </w:tcPr>
          <w:p>
            <w:r>
              <w:t>岗位匹配引擎</w:t>
            </w:r>
          </w:p>
        </w:tc>
        <w:tc>
          <w:tcPr>
            <w:tcW w:type="dxa" w:w="1949"/>
          </w:tcPr>
          <w:p>
            <w:r>
              <w:t>复杂推荐、预测、精细匹配。</w:t>
            </w:r>
          </w:p>
        </w:tc>
        <w:tc>
          <w:tcPr>
            <w:tcW w:type="dxa" w:w="1949"/>
          </w:tcPr>
          <w:p>
            <w:r>
              <w:t>Out</w:t>
            </w:r>
          </w:p>
        </w:tc>
        <w:tc>
          <w:tcPr>
            <w:tcW w:type="dxa" w:w="1949"/>
          </w:tcPr>
          <w:p>
            <w:r>
              <w:t>纳入后续 backlog。</w:t>
            </w:r>
          </w:p>
        </w:tc>
      </w:tr>
    </w:tbl>
    <w:p/>
    <w:p>
      <w:pPr>
        <w:pStyle w:val="Heading1"/>
      </w:pPr>
      <w:r>
        <w:t>5. 核心页面与交互要求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页面 / 模块</w:t>
            </w:r>
          </w:p>
        </w:tc>
        <w:tc>
          <w:tcPr>
            <w:tcW w:type="dxa" w:w="328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核心内容</w:t>
            </w:r>
          </w:p>
        </w:tc>
        <w:tc>
          <w:tcPr>
            <w:tcW w:type="dxa" w:w="3402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关键交互要求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首页 / 总览页</w:t>
            </w:r>
          </w:p>
        </w:tc>
        <w:tc>
          <w:tcPr>
            <w:tcW w:type="dxa" w:w="32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展示已收录高校数量、教授类人才数量、学生类人才数量，并提供搜索入口与学校分类入口。</w:t>
            </w:r>
          </w:p>
        </w:tc>
        <w:tc>
          <w:tcPr>
            <w:tcW w:type="dxa" w:w="34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进入系统即可建立对数据覆盖范围的整体认知；关键入口清晰可见。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学校分类 / 列表页</w:t>
            </w:r>
          </w:p>
        </w:tc>
        <w:tc>
          <w:tcPr>
            <w:tcW w:type="dxa" w:w="32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支持按国家浏览学校列表，并进入目标学校。</w:t>
            </w:r>
          </w:p>
        </w:tc>
        <w:tc>
          <w:tcPr>
            <w:tcW w:type="dxa" w:w="34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分类路径自然，支持快速定位目标学校。</w:t>
            </w:r>
          </w:p>
        </w:tc>
      </w:tr>
      <w:tr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学校详情页</w:t>
            </w:r>
          </w:p>
        </w:tc>
        <w:tc>
          <w:tcPr>
            <w:tcW w:type="dxa" w:w="328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学校介绍、所属国家/地区、教授人数、学生人数，以及进入该校人才列表的入口。</w:t>
            </w:r>
          </w:p>
        </w:tc>
        <w:tc>
          <w:tcPr>
            <w:tcW w:type="dxa" w:w="340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信息模块清晰，学校页与人才列表衔接顺畅。</w:t>
            </w:r>
          </w:p>
        </w:tc>
      </w:tr>
      <w:tr>
        <w:tc>
          <w:tcPr>
            <w:tcW w:type="dxa" w:w="3249"/>
          </w:tcPr>
          <w:p>
            <w:r>
              <w:t>人才搜索 / 列表页</w:t>
            </w:r>
          </w:p>
        </w:tc>
        <w:tc>
          <w:tcPr>
            <w:tcW w:type="dxa" w:w="3249"/>
          </w:tcPr>
          <w:p>
            <w:r>
              <w:t>搜索框、筛选区、结果列表、基础排序、角色标签。</w:t>
            </w:r>
          </w:p>
        </w:tc>
        <w:tc>
          <w:tcPr>
            <w:tcW w:type="dxa" w:w="3249"/>
          </w:tcPr>
          <w:p>
            <w:r>
              <w:t>前几屏即可支持初筛；筛选操作应低跳转、低学习成本。</w:t>
            </w:r>
          </w:p>
        </w:tc>
      </w:tr>
      <w:tr>
        <w:tc>
          <w:tcPr>
            <w:tcW w:type="dxa" w:w="3249"/>
          </w:tcPr>
          <w:p>
            <w:r>
              <w:t>候选人详情页</w:t>
            </w:r>
          </w:p>
        </w:tc>
        <w:tc>
          <w:tcPr>
            <w:tcW w:type="dxa" w:w="3249"/>
          </w:tcPr>
          <w:p>
            <w:r>
              <w:t>基础信息、研究方向、代表成果、活跃度、合作关系、基础评分。</w:t>
            </w:r>
          </w:p>
        </w:tc>
        <w:tc>
          <w:tcPr>
            <w:tcW w:type="dxa" w:w="3249"/>
          </w:tcPr>
          <w:p>
            <w:r>
              <w:t>信息层级要服务招聘判断，页面状态完整。</w:t>
            </w:r>
          </w:p>
        </w:tc>
      </w:tr>
      <w:tr>
        <w:tc>
          <w:tcPr>
            <w:tcW w:type="dxa" w:w="3249"/>
          </w:tcPr>
          <w:p>
            <w:r>
              <w:t>TOP 候选人池 / 导出</w:t>
            </w:r>
          </w:p>
        </w:tc>
        <w:tc>
          <w:tcPr>
            <w:tcW w:type="dxa" w:w="3249"/>
          </w:tcPr>
          <w:p>
            <w:r>
              <w:t>候选人集合、导出动作、最小必要字段。</w:t>
            </w:r>
          </w:p>
        </w:tc>
        <w:tc>
          <w:tcPr>
            <w:tcW w:type="dxa" w:w="3249"/>
          </w:tcPr>
          <w:p>
            <w:r>
              <w:t>导出前后反馈清楚，格式稳定，便于复用。</w:t>
            </w:r>
          </w:p>
        </w:tc>
      </w:tr>
      <w:tr>
        <w:tc>
          <w:tcPr>
            <w:tcW w:type="dxa" w:w="3249"/>
          </w:tcPr>
          <w:p>
            <w:r>
              <w:t>管理端 / 权限配置页</w:t>
            </w:r>
          </w:p>
        </w:tc>
        <w:tc>
          <w:tcPr>
            <w:tcW w:type="dxa" w:w="3249"/>
          </w:tcPr>
          <w:p>
            <w:r>
              <w:t>用户列表、授权学校范围、配置生效说明。</w:t>
            </w:r>
          </w:p>
        </w:tc>
        <w:tc>
          <w:tcPr>
            <w:tcW w:type="dxa" w:w="3249"/>
          </w:tcPr>
          <w:p>
            <w:r>
              <w:t>权限配置简单、可审查，避免越权或漏配。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8731"/>
      </w:tblGrid>
      <w:tr>
        <w:tc>
          <w:tcPr>
            <w:tcW w:type="dxa" w:w="9746"/>
            <w:shd w:fill="ED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sz w:val="20"/>
                <w:rFonts w:eastAsia="Microsoft YaHei" w:ascii="Microsoft YaHei" w:hAnsi="Microsoft YaHei"/>
              </w:rPr>
              <w:t>UX/UI 基线要求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页面设计必须达到可稳定试用水平，不允许以“内部试用 / MVP”为理由降低体验标准。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必须显式考虑空态、加载态、异常态和无结果态。</w:t>
            </w:r>
          </w:p>
        </w:tc>
      </w:tr>
      <w:tr>
        <w:tc>
          <w:tcPr>
            <w:tcW w:type="dxa" w:w="974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  <w:rFonts w:eastAsia="Microsoft YaHei" w:ascii="Microsoft YaHei" w:hAnsi="Microsoft YaHei"/>
              </w:rPr>
              <w:t>• 信息优先级应以“能否帮助招聘快速判断”为核心，而不是按学术数据原始结构平铺。</w:t>
            </w:r>
          </w:p>
        </w:tc>
      </w:tr>
    </w:tbl>
    <w:p/>
    <w:p>
      <w:pPr>
        <w:pStyle w:val="Heading1"/>
      </w:pPr>
      <w:r>
        <w:t>6. 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首页总览指标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系统应展示已收录高校数量、教授类人才数量、学生类人才数量等总览指标。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统计口径明确，授权范围内显示正确。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关键字搜索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系统应支持基于人才姓名、学校名称、研究方向 / topic 等线索进行候选人检索。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可形成初始候选人列表。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按国家浏览学校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系统应支持按国家维度浏览学校列表。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国家分类结构清晰，可快速进入目标学校。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学校详情页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系统应提供学校信息页，展示学校介绍、教授人数、学生人数等基础信息。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学校页可支撑继续下钻或判断覆盖质量。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FR-005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按学校查看人才列表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系统应支持进入单个学校的人才列表，并展示候选人的关键信息。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学校维度浏览闭环可用。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FR-006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列表角色展示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列表中应清晰展示候选人的当前角色，如教授 / 在读学生 / 已毕业学生 / 待确认。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角色标识清楚，不误导用户。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FR-007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筛选与排序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系统应支持按研究方向、成果质量、活跃度等条件筛选并提供基础排序能力。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筛选组合符合招聘主链路。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FR-008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详情查看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用户应能够查看单个候选人的详情信息，包括研究方向、代表成果、活跃度和合作网络。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详情页可支持“是否继续跟进”的研判。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FR-009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候选人画像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系统应生成并存储面向招聘使用的候选人画像对象。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画像字段可复用到列表、详情和导出。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FR-010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TOP 候选人导出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系统应支持导出重点候选人名单。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导出内容完整、格式稳定。</w:t>
            </w:r>
          </w:p>
        </w:tc>
      </w:tr>
      <w:tr>
        <w:tc>
          <w:tcPr>
            <w:tcW w:type="dxa" w:w="1949"/>
          </w:tcPr>
          <w:p>
            <w:r>
              <w:t>FR-011</w:t>
            </w:r>
          </w:p>
        </w:tc>
        <w:tc>
          <w:tcPr>
            <w:tcW w:type="dxa" w:w="1949"/>
          </w:tcPr>
          <w:p>
            <w:r>
              <w:t>权限配置</w:t>
            </w:r>
          </w:p>
        </w:tc>
        <w:tc>
          <w:tcPr>
            <w:tcW w:type="dxa" w:w="1949"/>
          </w:tcPr>
          <w:p>
            <w:r>
              <w:t>系统应支持管理员按学校范围为用户配置可见学校。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配置路径清楚，可正确保存与修改。</w:t>
            </w:r>
          </w:p>
        </w:tc>
      </w:tr>
      <w:tr>
        <w:tc>
          <w:tcPr>
            <w:tcW w:type="dxa" w:w="1949"/>
          </w:tcPr>
          <w:p>
            <w:r>
              <w:t>FR-012</w:t>
            </w:r>
          </w:p>
        </w:tc>
        <w:tc>
          <w:tcPr>
            <w:tcW w:type="dxa" w:w="1949"/>
          </w:tcPr>
          <w:p>
            <w:r>
              <w:t>权限校验</w:t>
            </w:r>
          </w:p>
        </w:tc>
        <w:tc>
          <w:tcPr>
            <w:tcW w:type="dxa" w:w="1949"/>
          </w:tcPr>
          <w:p>
            <w:r>
              <w:t>总览、搜索、学校页、人才列表与详情页均应基于用户授权学校范围进行访问控制。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不可通过搜索或直接链接绕过权限。</w:t>
            </w:r>
          </w:p>
        </w:tc>
      </w:tr>
      <w:tr>
        <w:tc>
          <w:tcPr>
            <w:tcW w:type="dxa" w:w="1949"/>
          </w:tcPr>
          <w:p>
            <w:r>
              <w:t>FR-013</w:t>
            </w:r>
          </w:p>
        </w:tc>
        <w:tc>
          <w:tcPr>
            <w:tcW w:type="dxa" w:w="1949"/>
          </w:tcPr>
          <w:p>
            <w:r>
              <w:t>数据同步</w:t>
            </w:r>
          </w:p>
        </w:tc>
        <w:tc>
          <w:tcPr>
            <w:tcW w:type="dxa" w:w="1949"/>
          </w:tcPr>
          <w:p>
            <w:r>
              <w:t>系统应支持基础同步任务与重复执行。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任务可复跑、可追踪。</w:t>
            </w:r>
          </w:p>
        </w:tc>
      </w:tr>
      <w:tr>
        <w:tc>
          <w:tcPr>
            <w:tcW w:type="dxa" w:w="1949"/>
          </w:tcPr>
          <w:p>
            <w:r>
              <w:t>FR-014</w:t>
            </w:r>
          </w:p>
        </w:tc>
        <w:tc>
          <w:tcPr>
            <w:tcW w:type="dxa" w:w="1949"/>
          </w:tcPr>
          <w:p>
            <w:r>
              <w:t>日志与错误反馈</w:t>
            </w:r>
          </w:p>
        </w:tc>
        <w:tc>
          <w:tcPr>
            <w:tcW w:type="dxa" w:w="1949"/>
          </w:tcPr>
          <w:p>
            <w:r>
              <w:t>系统应对关键错误进行日志记录并提供基础提示。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便于定位问题并保障试用。</w:t>
            </w:r>
          </w:p>
        </w:tc>
      </w:tr>
    </w:tbl>
    <w:p/>
    <w:p>
      <w:pPr>
        <w:pStyle w:val="Heading1"/>
      </w:pPr>
      <w:r>
        <w:t>7. 数据需求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3249"/>
        <w:gridCol w:w="3249"/>
        <w:gridCol w:w="3249"/>
      </w:tblGrid>
      <w:tr>
        <w:tc>
          <w:tcPr>
            <w:tcW w:type="dxa" w:w="175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数据层</w:t>
            </w:r>
          </w:p>
        </w:tc>
        <w:tc>
          <w:tcPr>
            <w:tcW w:type="dxa" w:w="2891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要求</w:t>
            </w:r>
          </w:p>
        </w:tc>
        <w:tc>
          <w:tcPr>
            <w:tcW w:type="dxa" w:w="3969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Source Layer</w:t>
            </w:r>
          </w:p>
        </w:tc>
        <w:tc>
          <w:tcPr>
            <w:tcW w:type="dxa" w:w="28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第一阶段以 OpenAlex 作为主要来源。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需要支持基础接入、字段映射、可追踪更新。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Domain Layer</w:t>
            </w:r>
          </w:p>
        </w:tc>
        <w:tc>
          <w:tcPr>
            <w:tcW w:type="dxa" w:w="28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系统内部需抽象候选人、成果、机构、venue、topic、合作关系等领域对象。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不得直接把 OpenAlex 字段等同于平台长期模型。</w:t>
            </w:r>
          </w:p>
        </w:tc>
      </w:tr>
      <w:t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Application Layer</w:t>
            </w:r>
          </w:p>
        </w:tc>
        <w:tc>
          <w:tcPr>
            <w:tcW w:type="dxa" w:w="289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为搜索、详情、排序、导出提供可直接消费的数据对象。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left"/>
            </w:pPr>
            <w:r>
              <w:rPr>
                <w:sz w:val="18"/>
                <w:rFonts w:eastAsia="Microsoft YaHei" w:ascii="Microsoft YaHei" w:hAnsi="Microsoft YaHei"/>
              </w:rPr>
              <w:t>字段结构应服务招聘使用，不做纯原始数据搬运。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DR-001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候选人主对象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至少应包含基础身份信息、当前学校、角色、方向标签、代表成果、活跃度和基础评分。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对象可支撑列表与详情复用。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DR-002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学校对象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至少应包含学校名称、国家/地区、学校介绍、学校标识等基础字段。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可支撑学校分类与学校详情页。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DR-003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学校统计对象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至少应包含该校教授类人才数、学生类人才数及统计更新时间。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学校页与总览页统计可复用。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DR-004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代表成果对象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至少应包含标题、年份、venue、作者关系等最小必要字段。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用于判断成果质量和研究方向。</w:t>
            </w:r>
          </w:p>
        </w:tc>
      </w:tr>
      <w:tr>
        <w:tc>
          <w:tcPr>
            <w:tcW w:type="dxa" w:w="1949"/>
          </w:tcPr>
          <w:p>
            <w:r>
              <w:t>DR-005</w:t>
            </w:r>
          </w:p>
        </w:tc>
        <w:tc>
          <w:tcPr>
            <w:tcW w:type="dxa" w:w="1949"/>
          </w:tcPr>
          <w:p>
            <w:r>
              <w:t>关系边对象</w:t>
            </w:r>
          </w:p>
        </w:tc>
        <w:tc>
          <w:tcPr>
            <w:tcW w:type="dxa" w:w="1949"/>
          </w:tcPr>
          <w:p>
            <w:r>
              <w:t>至少应支撑基础共著关系表示。</w:t>
            </w:r>
          </w:p>
        </w:tc>
        <w:tc>
          <w:tcPr>
            <w:tcW w:type="dxa" w:w="1949"/>
          </w:tcPr>
          <w:p>
            <w:r>
              <w:t>P1</w:t>
            </w:r>
          </w:p>
        </w:tc>
        <w:tc>
          <w:tcPr>
            <w:tcW w:type="dxa" w:w="1949"/>
          </w:tcPr>
          <w:p>
            <w:r>
              <w:t>为后续关系洞察预留。</w:t>
            </w:r>
          </w:p>
        </w:tc>
      </w:tr>
      <w:tr>
        <w:tc>
          <w:tcPr>
            <w:tcW w:type="dxa" w:w="1949"/>
          </w:tcPr>
          <w:p>
            <w:r>
              <w:t>DR-006</w:t>
            </w:r>
          </w:p>
        </w:tc>
        <w:tc>
          <w:tcPr>
            <w:tcW w:type="dxa" w:w="1949"/>
          </w:tcPr>
          <w:p>
            <w:r>
              <w:t>用户权限对象</w:t>
            </w:r>
          </w:p>
        </w:tc>
        <w:tc>
          <w:tcPr>
            <w:tcW w:type="dxa" w:w="1949"/>
          </w:tcPr>
          <w:p>
            <w:r>
              <w:t>至少应记录用户标识、角色、可见学校范围及生效状态。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支撑管理端配置与访问控制。</w:t>
            </w:r>
          </w:p>
        </w:tc>
      </w:tr>
      <w:tr>
        <w:tc>
          <w:tcPr>
            <w:tcW w:type="dxa" w:w="1949"/>
          </w:tcPr>
          <w:p>
            <w:r>
              <w:t>DR-007</w:t>
            </w:r>
          </w:p>
        </w:tc>
        <w:tc>
          <w:tcPr>
            <w:tcW w:type="dxa" w:w="1949"/>
          </w:tcPr>
          <w:p>
            <w:r>
              <w:t>导出对象</w:t>
            </w:r>
          </w:p>
        </w:tc>
        <w:tc>
          <w:tcPr>
            <w:tcW w:type="dxa" w:w="1949"/>
          </w:tcPr>
          <w:p>
            <w:r>
              <w:t>导出字段需服务招聘复用。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字段命名清楚、格式稳定。</w:t>
            </w:r>
          </w:p>
        </w:tc>
      </w:tr>
    </w:tbl>
    <w:p/>
    <w:p>
      <w:pPr>
        <w:pStyle w:val="Heading1"/>
      </w:pPr>
      <w:r>
        <w:t>8. 外部接口与系统边界</w:t>
      </w:r>
    </w:p>
    <w:p>
      <w:pPr/>
      <w:r>
        <w:t>本阶段主要外部依赖为 OpenAlex 数据源。系统需通过可维护的接入方式完成数据获取、重试、分页、限流和基础错误处理。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IF-001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数据来源接口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应支持对 OpenAlex 的基础调用与分页拉取。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能够支撑首批目标方向数据同步。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IF-002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同步任务接口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应具备可重复执行的同步任务触发机制。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任务执行可观察、可复跑。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IF-003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应用接口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应为前端提供总览、学校列表、学校详情、搜索、详情、导出等应用接口。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接口命名与返回结构清晰。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IF-004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权限配置接口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应支持管理员配置用户可见学校范围，并可查询当前授权结果。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配置成功后生效逻辑清楚。</w:t>
            </w:r>
          </w:p>
        </w:tc>
      </w:tr>
      <w:tr>
        <w:tc>
          <w:tcPr>
            <w:tcW w:type="dxa" w:w="1949"/>
          </w:tcPr>
          <w:p>
            <w:r>
              <w:t>IF-005</w:t>
            </w:r>
          </w:p>
        </w:tc>
        <w:tc>
          <w:tcPr>
            <w:tcW w:type="dxa" w:w="1949"/>
          </w:tcPr>
          <w:p>
            <w:r>
              <w:t>权限校验机制</w:t>
            </w:r>
          </w:p>
        </w:tc>
        <w:tc>
          <w:tcPr>
            <w:tcW w:type="dxa" w:w="1949"/>
          </w:tcPr>
          <w:p>
            <w:r>
              <w:t>应用接口应统一进行学校范围权限校验。</w:t>
            </w:r>
          </w:p>
        </w:tc>
        <w:tc>
          <w:tcPr>
            <w:tcW w:type="dxa" w:w="1949"/>
          </w:tcPr>
          <w:p>
            <w:r>
              <w:t>P0</w:t>
            </w:r>
          </w:p>
        </w:tc>
        <w:tc>
          <w:tcPr>
            <w:tcW w:type="dxa" w:w="1949"/>
          </w:tcPr>
          <w:p>
            <w:r>
              <w:t>避免不同页面出现权限口径不一致。</w:t>
            </w:r>
          </w:p>
        </w:tc>
      </w:tr>
      <w:tr>
        <w:tc>
          <w:tcPr>
            <w:tcW w:type="dxa" w:w="1949"/>
          </w:tcPr>
          <w:p>
            <w:r>
              <w:t>IF-006</w:t>
            </w:r>
          </w:p>
        </w:tc>
        <w:tc>
          <w:tcPr>
            <w:tcW w:type="dxa" w:w="1949"/>
          </w:tcPr>
          <w:p>
            <w:r>
              <w:t>后续扩展预留</w:t>
            </w:r>
          </w:p>
        </w:tc>
        <w:tc>
          <w:tcPr>
            <w:tcW w:type="dxa" w:w="1949"/>
          </w:tcPr>
          <w:p>
            <w:r>
              <w:t>应预留未来采集服务与多源接入的扩展点。</w:t>
            </w:r>
          </w:p>
        </w:tc>
        <w:tc>
          <w:tcPr>
            <w:tcW w:type="dxa" w:w="1949"/>
          </w:tcPr>
          <w:p>
            <w:r>
              <w:t>P1</w:t>
            </w:r>
          </w:p>
        </w:tc>
        <w:tc>
          <w:tcPr>
            <w:tcW w:type="dxa" w:w="1949"/>
          </w:tcPr>
          <w:p>
            <w:r>
              <w:t>架构边界清楚，避免硬编码。</w:t>
            </w:r>
          </w:p>
        </w:tc>
      </w:tr>
    </w:tbl>
    <w:p/>
    <w:p>
      <w:pPr>
        <w:pStyle w:val="Heading1"/>
      </w:pPr>
      <w:r>
        <w:t>9. 非功能性要求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07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编号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需求项</w:t>
            </w:r>
          </w:p>
        </w:tc>
        <w:tc>
          <w:tcPr>
            <w:tcW w:type="dxa" w:w="36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说明</w:t>
            </w:r>
          </w:p>
        </w:tc>
        <w:tc>
          <w:tcPr>
            <w:tcW w:type="dxa" w:w="102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优先级</w:t>
            </w:r>
          </w:p>
        </w:tc>
        <w:tc>
          <w:tcPr>
            <w:tcW w:type="dxa" w:w="1814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验收关注点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工程质量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代码结构清晰、模块职责明确，具备基本测试与代码审查基础。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后续可维护、可迭代。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NFR-002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性能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总览页、学校页、搜索结果和详情页应达到内部试用可接受的响应速度。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不追求极致性能，但不能明显卡顿。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NFR-003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稳定性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核心链路可连续演示和稳定试用，失败场景具备基础处理。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关键流程不因小问题整体中断。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NFR-004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可维护性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日志、配置、数据对象和任务脚本应具备基本规范。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便于后续人员接手和扩展。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NFR-005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安全与权限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系统应按最小必要原则控制数据可见范围，权限规则在总览、搜索、学校页和人才页保持一致。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试用范围内权限边界可控。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NFR-006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UX/UI 体验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页面层级清晰，关键动作路径短，状态反馈完整。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P0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达到正式业务系统的基本可用性标准。</w:t>
            </w:r>
          </w:p>
        </w:tc>
      </w:tr>
      <w:tr>
        <w:tc>
          <w:tcPr>
            <w:tcW w:type="dxa" w:w="90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NFR-007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可扩展性</w:t>
            </w:r>
          </w:p>
        </w:tc>
        <w:tc>
          <w:tcPr>
            <w:tcW w:type="dxa" w:w="36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业务模型与外部来源解耦，为未来多来源域接入预留空间。</w:t>
            </w:r>
          </w:p>
        </w:tc>
        <w:tc>
          <w:tcPr>
            <w:tcW w:type="dxa" w:w="102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P1</w:t>
            </w:r>
          </w:p>
        </w:tc>
        <w:tc>
          <w:tcPr>
            <w:tcW w:type="dxa" w:w="181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避免单一来源深度绑定。</w:t>
            </w:r>
          </w:p>
        </w:tc>
      </w:tr>
    </w:tbl>
    <w:p/>
    <w:p>
      <w:pPr>
        <w:pStyle w:val="Heading1"/>
      </w:pPr>
      <w:r>
        <w:t>10. 验收基线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9D7E5"/>
          <w:left w:val="single" w:sz="8" w:color="C9D7E5"/>
          <w:bottom w:val="single" w:sz="8" w:color="C9D7E5"/>
          <w:right w:val="single" w:sz="8" w:color="C9D7E5"/>
          <w:insideH w:val="single" w:sz="8" w:color="C9D7E5"/>
          <w:insideV w:val="single" w:sz="8" w:color="C9D7E5"/>
        </w:tblBorders>
      </w:tblPr>
      <w:tblGrid>
        <w:gridCol w:w="4873"/>
        <w:gridCol w:w="4873"/>
      </w:tblGrid>
      <w:tr>
        <w:tc>
          <w:tcPr>
            <w:tcW w:type="dxa" w:w="1928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验收维度</w:t>
            </w:r>
          </w:p>
        </w:tc>
        <w:tc>
          <w:tcPr>
            <w:tcW w:type="dxa" w:w="6690"/>
            <w:shd w:fill="D9E6F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sz w:val="19"/>
                <w:rFonts w:eastAsia="Microsoft YaHei" w:ascii="Microsoft YaHei" w:hAnsi="Microsoft YaHei"/>
              </w:rPr>
              <w:t>基线要求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功能闭环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能够完成“看总览—搜人或按国家看学校—进学校页—看人才列表—看详情—导出名单”的完整链路。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结果可用性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使用方认为系统输出对招聘工作具有实际辅助价值，且学校页与角色展示可支撑快速初筛。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稳定试用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系统可用于一次完整内部试用和 demo，不依赖大量人工兜底。</w:t>
            </w:r>
          </w:p>
        </w:tc>
      </w:tr>
      <w:tr>
        <w:tc>
          <w:tcPr>
            <w:tcW w:type="dxa" w:w="192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权限正确性</w:t>
            </w:r>
          </w:p>
        </w:tc>
        <w:tc>
          <w:tcPr>
            <w:tcW w:type="dxa" w:w="669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r>
              <w:t>不同用户只能看到被授权学校范围内的统计、学校与人才数据，不能通过搜索或直链绕过。</w:t>
            </w:r>
          </w:p>
        </w:tc>
      </w:tr>
      <w:tr>
        <w:tc>
          <w:tcPr>
            <w:tcW w:type="dxa" w:w="4873"/>
          </w:tcPr>
          <w:p>
            <w:r>
              <w:t>质量感知</w:t>
            </w:r>
          </w:p>
        </w:tc>
        <w:tc>
          <w:tcPr>
            <w:tcW w:type="dxa" w:w="4873"/>
          </w:tcPr>
          <w:p>
            <w:r>
              <w:t>使用者主观体验不应认为系统只是临时 demo，而应具备继续投入的价值感。</w:t>
            </w:r>
          </w:p>
        </w:tc>
      </w:tr>
    </w:tbl>
    <w:p/>
    <w:p>
      <w:pPr>
        <w:pStyle w:val="Heading1"/>
      </w:pPr>
      <w:r>
        <w:t>11. 未决事项与后续补充</w:t>
      </w:r>
    </w:p>
    <w:p>
      <w:pPr/>
      <w:r>
        <w:t>建议在方案设计前进一步明确以下内容：</w:t>
      </w:r>
    </w:p>
    <w:p>
      <w:pPr>
        <w:spacing w:after="60"/>
        <w:ind w:left="312" w:hanging="255"/>
      </w:pPr>
      <w:r>
        <w:rPr>
          <w:sz w:val="20"/>
          <w:rFonts w:eastAsia="Microsoft YaHei" w:ascii="Microsoft YaHei" w:hAnsi="Microsoft YaHei"/>
        </w:rPr>
        <w:t>• 研究方向 taxonomy 和关键词归并策略。</w:t>
      </w:r>
    </w:p>
    <w:p>
      <w:pPr>
        <w:spacing w:after="60"/>
        <w:ind w:left="312" w:hanging="255"/>
      </w:pPr>
      <w:r>
        <w:rPr>
          <w:sz w:val="20"/>
          <w:rFonts w:eastAsia="Microsoft YaHei" w:ascii="Microsoft YaHei" w:hAnsi="Microsoft YaHei"/>
        </w:rPr>
        <w:t>• 顶会 / 顶刊、venue 分层和基础评分口径。</w:t>
      </w:r>
    </w:p>
    <w:p>
      <w:pPr>
        <w:spacing w:after="60"/>
        <w:ind w:left="312" w:hanging="255"/>
      </w:pPr>
      <w:r>
        <w:rPr>
          <w:sz w:val="20"/>
          <w:rFonts w:eastAsia="Microsoft YaHei" w:ascii="Microsoft YaHei" w:hAnsi="Microsoft YaHei"/>
        </w:rPr>
        <w:t>• TOP 候选人的业务定义与导出字段模板。</w:t>
      </w:r>
    </w:p>
    <w:p>
      <w:pPr>
        <w:spacing w:after="60"/>
        <w:ind w:left="312" w:hanging="255"/>
      </w:pPr>
      <w:r>
        <w:rPr>
          <w:sz w:val="20"/>
          <w:rFonts w:eastAsia="Microsoft YaHei" w:ascii="Microsoft YaHei" w:hAnsi="Microsoft YaHei"/>
        </w:rPr>
        <w:t>• 未来采集服务建设的触发条件与接口预留方式。</w:t>
      </w:r>
    </w:p>
    <w:p>
      <w:pPr>
        <w:pStyle w:val="ListBullet"/>
      </w:pPr>
      <w:r>
        <w:t>学校目录国家归类、学校介绍来源与学校统计更新时间口径。</w:t>
      </w:r>
    </w:p>
    <w:p>
      <w:pPr>
        <w:pStyle w:val="ListBullet"/>
      </w:pPr>
      <w:r>
        <w:t>角色识别规则：教授 / 教师科研人员、在读学生、已毕业学生、待确认的判断依据。</w:t>
      </w:r>
    </w:p>
    <w:p>
      <w:pPr>
        <w:pStyle w:val="ListBullet"/>
      </w:pPr>
      <w:r>
        <w:t>权限配置与默认授权策略，以及学校范围权限对统计口径的影响。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  <w:rFonts w:eastAsia="Microsoft YaHei" w:ascii="Microsoft YaHei" w:hAnsi="Microsoft YaHei"/>
      </w:rPr>
      <w:t>智能人才库项目｜需求分析阶段文档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6060"/>
        <w:sz w:val="17"/>
        <w:rFonts w:eastAsia="Microsoft YaHei" w:ascii="Microsoft YaHei" w:hAnsi="Microsoft YaHei"/>
      </w:rPr>
      <w:t>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56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232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8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Microsoft YaHei" w:hAnsi="Microsoft YaHei" w:eastAsia="Microsoft YaHei"/>
      <w:b/>
      <w:color w:val="26568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60"/>
    </w:pPr>
    <w:rPr>
      <w:rFonts w:ascii="Microsoft YaHei" w:hAnsi="Microsoft YaHei" w:eastAsia="Microsoft YaHei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