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LTitle"/>
        <w:jc w:val="center"/>
      </w:pPr>
      <w:r>
        <w:t>智能人才库 UI 设计规范（平台级 V1.2）</w:t>
      </w:r>
    </w:p>
    <w:p>
      <w:pPr>
        <w:pStyle w:val="TLSmall"/>
        <w:jc w:val="center"/>
      </w:pPr>
      <w:r>
        <w:t>Ant Design Glass · 优化版 · 以可读性和企业 Web 结构为优先</w:t>
      </w:r>
    </w:p>
    <w:p>
      <w:pPr>
        <w:pStyle w:val="TLBody"/>
      </w:pPr>
      <w:r>
        <w:t>本次刷新将整体风格从“概念图导向”调整为“成熟企业 Web 导向”。保留适度 Glass 质感，但将其收束于首页 Hero、KPI 卡片与少量悬浮容器；正文信息区域、卡片和表格回归更稳的实体布局。</w:t>
      </w:r>
    </w:p>
    <w:p>
      <w:pPr>
        <w:pStyle w:val="TLH1"/>
      </w:pPr>
      <w:r>
        <w:t>1. 设计目标与适用范围</w:t>
      </w:r>
    </w:p>
    <w:p>
      <w:pPr>
        <w:pStyle w:val="TLBody"/>
        <w:ind w:left="340" w:hanging="227"/>
      </w:pPr>
      <w:r>
        <w:rPr>
          <w:b/>
        </w:rPr>
        <w:t xml:space="preserve">• </w:t>
      </w:r>
      <w:r>
        <w:t>适用于智能人才库整个平台，包括学术人才、开源生态人才、工业界人才、竞赛人才及后续地图类页面。</w:t>
      </w:r>
    </w:p>
    <w:p>
      <w:pPr>
        <w:pStyle w:val="TLBody"/>
        <w:ind w:left="340" w:hanging="227"/>
      </w:pPr>
      <w:r>
        <w:rPr>
          <w:b/>
        </w:rPr>
        <w:t xml:space="preserve">• </w:t>
      </w:r>
      <w:r>
        <w:t>统一采用 1440 桌面端基线、12 栅格、24px 栅格间距、64px 页面左右安全边距。</w:t>
      </w:r>
    </w:p>
    <w:p>
      <w:pPr>
        <w:pStyle w:val="TLBody"/>
        <w:ind w:left="340" w:hanging="227"/>
      </w:pPr>
      <w:r>
        <w:rPr>
          <w:b/>
        </w:rPr>
        <w:t xml:space="preserve">• </w:t>
      </w:r>
      <w:r>
        <w:t>坚持“搜索优先、信息前置、列表可扫读、权限一致生效”的设计原则。</w:t>
      </w:r>
    </w:p>
    <w:p>
      <w:pPr>
        <w:pStyle w:val="TLH1"/>
      </w:pPr>
      <w:r>
        <w:t>2. 刷新后的风格基线</w:t>
      </w:r>
    </w:p>
    <w:p>
      <w:pPr>
        <w:pStyle w:val="TLBody"/>
      </w:pPr>
      <w:r>
        <w:t>视觉上采用 Ant Design 风格的企业 Web 结构，辅以轻量 Glass 容器和浅色渐变背景；信息层级、排版密度和卡片结构以招聘场景的可读性为第一优先。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3748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mepage_glass_redesign_preview_c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748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LSmall"/>
        <w:jc w:val="center"/>
      </w:pPr>
      <w:r>
        <w:t>首页总览页基线预览：主入口为搜索，其次为国家筛选和学校目录。</w:t>
      </w:r>
    </w:p>
    <w:p>
      <w:pPr>
        <w:pStyle w:val="TLH1"/>
      </w:pPr>
      <w:r>
        <w:t>3. 布局与字号体系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417"/>
            <w:shd w:fill="EAF2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pStyle w:val="TLBody"/>
            </w:pPr>
            <w:r>
              <w:rPr>
                <w:b/>
                <w:color w:val="0F172A"/>
              </w:rPr>
              <w:t>层级</w:t>
            </w:r>
          </w:p>
        </w:tc>
        <w:tc>
          <w:tcPr>
            <w:tcW w:type="dxa" w:w="2268"/>
            <w:shd w:fill="EAF2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pStyle w:val="TLBody"/>
            </w:pPr>
            <w:r>
              <w:rPr>
                <w:b/>
                <w:color w:val="0F172A"/>
              </w:rPr>
              <w:t>推荐字号/行高</w:t>
            </w:r>
          </w:p>
        </w:tc>
        <w:tc>
          <w:tcPr>
            <w:tcW w:type="dxa" w:w="5102"/>
            <w:shd w:fill="EAF2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pStyle w:val="TLBody"/>
            </w:pPr>
            <w:r>
              <w:rPr>
                <w:b/>
                <w:color w:val="0F172A"/>
              </w:rPr>
              <w:t>使用场景</w:t>
            </w:r>
          </w:p>
        </w:tc>
      </w:tr>
      <w:tr>
        <w:tc>
          <w:tcPr>
            <w:tcW w:type="dxa" w:w="14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LBody"/>
            </w:pPr>
            <w:r>
              <w:t>H0</w:t>
            </w:r>
          </w:p>
        </w:tc>
        <w:tc>
          <w:tcPr>
            <w:tcW w:type="dxa" w:w="22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LBody"/>
            </w:pPr>
            <w:r>
              <w:t>56 / 64</w:t>
            </w:r>
          </w:p>
        </w:tc>
        <w:tc>
          <w:tcPr>
            <w:tcW w:type="dxa" w:w="51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LBody"/>
            </w:pPr>
            <w:r>
              <w:t>首页主标题</w:t>
            </w:r>
          </w:p>
        </w:tc>
      </w:tr>
      <w:tr>
        <w:tc>
          <w:tcPr>
            <w:tcW w:type="dxa" w:w="14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LBody"/>
            </w:pPr>
            <w:r>
              <w:t>H1</w:t>
            </w:r>
          </w:p>
        </w:tc>
        <w:tc>
          <w:tcPr>
            <w:tcW w:type="dxa" w:w="22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LBody"/>
            </w:pPr>
            <w:r>
              <w:t>32 / 40</w:t>
            </w:r>
          </w:p>
        </w:tc>
        <w:tc>
          <w:tcPr>
            <w:tcW w:type="dxa" w:w="51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LBody"/>
            </w:pPr>
            <w:r>
              <w:t>区块标题，如“重点学校目录”</w:t>
            </w:r>
          </w:p>
        </w:tc>
      </w:tr>
      <w:tr>
        <w:tc>
          <w:tcPr>
            <w:tcW w:type="dxa" w:w="14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LBody"/>
            </w:pPr>
            <w:r>
              <w:t>H2</w:t>
            </w:r>
          </w:p>
        </w:tc>
        <w:tc>
          <w:tcPr>
            <w:tcW w:type="dxa" w:w="22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LBody"/>
            </w:pPr>
            <w:r>
              <w:t>24 / 32</w:t>
            </w:r>
          </w:p>
        </w:tc>
        <w:tc>
          <w:tcPr>
            <w:tcW w:type="dxa" w:w="51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LBody"/>
            </w:pPr>
            <w:r>
              <w:t>页面副标题、学校页区块标题</w:t>
            </w:r>
          </w:p>
        </w:tc>
      </w:tr>
      <w:tr>
        <w:tc>
          <w:tcPr>
            <w:tcW w:type="dxa" w:w="14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LBody"/>
            </w:pPr>
            <w:r>
              <w:t>Body-L</w:t>
            </w:r>
          </w:p>
        </w:tc>
        <w:tc>
          <w:tcPr>
            <w:tcW w:type="dxa" w:w="22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LBody"/>
            </w:pPr>
            <w:r>
              <w:t>16 / 24</w:t>
            </w:r>
          </w:p>
        </w:tc>
        <w:tc>
          <w:tcPr>
            <w:tcW w:type="dxa" w:w="51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LBody"/>
            </w:pPr>
            <w:r>
              <w:t>引导文案、页面说明</w:t>
            </w:r>
          </w:p>
        </w:tc>
      </w:tr>
      <w:tr>
        <w:tc>
          <w:tcPr>
            <w:tcW w:type="dxa" w:w="14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LBody"/>
            </w:pPr>
            <w:r>
              <w:t>Body</w:t>
            </w:r>
          </w:p>
        </w:tc>
        <w:tc>
          <w:tcPr>
            <w:tcW w:type="dxa" w:w="22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LBody"/>
            </w:pPr>
            <w:r>
              <w:t>14 / 22</w:t>
            </w:r>
          </w:p>
        </w:tc>
        <w:tc>
          <w:tcPr>
            <w:tcW w:type="dxa" w:w="51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LBody"/>
            </w:pPr>
            <w:r>
              <w:t>卡片说明、辅助文案</w:t>
            </w:r>
          </w:p>
        </w:tc>
      </w:tr>
      <w:tr>
        <w:tc>
          <w:tcPr>
            <w:tcW w:type="dxa" w:w="14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LBody"/>
            </w:pPr>
            <w:r>
              <w:t>Data-XL</w:t>
            </w:r>
          </w:p>
        </w:tc>
        <w:tc>
          <w:tcPr>
            <w:tcW w:type="dxa" w:w="22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LBody"/>
            </w:pPr>
            <w:r>
              <w:t>40 / 48</w:t>
            </w:r>
          </w:p>
        </w:tc>
        <w:tc>
          <w:tcPr>
            <w:tcW w:type="dxa" w:w="51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LBody"/>
            </w:pPr>
            <w:r>
              <w:t>KPI 数字</w:t>
            </w:r>
          </w:p>
        </w:tc>
      </w:tr>
      <w:tr>
        <w:tc>
          <w:tcPr>
            <w:tcW w:type="dxa" w:w="14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LBody"/>
            </w:pPr>
            <w:r>
              <w:t>Data-L</w:t>
            </w:r>
          </w:p>
        </w:tc>
        <w:tc>
          <w:tcPr>
            <w:tcW w:type="dxa" w:w="22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LBody"/>
            </w:pPr>
            <w:r>
              <w:t>28 / 36</w:t>
            </w:r>
          </w:p>
        </w:tc>
        <w:tc>
          <w:tcPr>
            <w:tcW w:type="dxa" w:w="51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LBody"/>
            </w:pPr>
            <w:r>
              <w:t>学校卡片数量、表格关键数字</w:t>
            </w:r>
          </w:p>
        </w:tc>
      </w:tr>
    </w:tbl>
    <w:p>
      <w:pPr>
        <w:pStyle w:val="TLH1"/>
      </w:pPr>
      <w:r>
        <w:t>4. Glass 使用边界</w:t>
      </w:r>
    </w:p>
    <w:p>
      <w:pPr>
        <w:pStyle w:val="TLBody"/>
        <w:ind w:left="340" w:hanging="227"/>
      </w:pPr>
      <w:r>
        <w:rPr>
          <w:b/>
        </w:rPr>
        <w:t xml:space="preserve">• </w:t>
      </w:r>
      <w:r>
        <w:t>首页 Hero 容器、学校页头图信息区、KPI 卡可使用轻度 Glass（白底 60%~75% 不透明度 + 模糊 + 轻阴影）。</w:t>
      </w:r>
    </w:p>
    <w:p>
      <w:pPr>
        <w:pStyle w:val="TLBody"/>
        <w:ind w:left="340" w:hanging="227"/>
      </w:pPr>
      <w:r>
        <w:rPr>
          <w:b/>
        </w:rPr>
        <w:t xml:space="preserve">• </w:t>
      </w:r>
      <w:r>
        <w:t>正文学校卡、教授卡、学生表格、权限配置表单回归实体白卡，不再大面积使用玻璃容器。</w:t>
      </w:r>
    </w:p>
    <w:p>
      <w:pPr>
        <w:pStyle w:val="TLBody"/>
        <w:ind w:left="340" w:hanging="227"/>
      </w:pPr>
      <w:r>
        <w:rPr>
          <w:b/>
        </w:rPr>
        <w:t xml:space="preserve">• </w:t>
      </w:r>
      <w:r>
        <w:t>禁止在正文长文本区使用过高透明度，避免造成对比度不足和阅读疲劳。</w:t>
      </w:r>
    </w:p>
    <w:p>
      <w:pPr>
        <w:pStyle w:val="TLH1"/>
      </w:pPr>
      <w:r>
        <w:t>5. 组件规范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701"/>
            <w:shd w:fill="EAF2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pStyle w:val="TLBody"/>
            </w:pPr>
            <w:r>
              <w:rPr>
                <w:b/>
                <w:color w:val="0F172A"/>
              </w:rPr>
              <w:t>组件</w:t>
            </w:r>
          </w:p>
        </w:tc>
        <w:tc>
          <w:tcPr>
            <w:tcW w:type="dxa" w:w="2835"/>
            <w:shd w:fill="EAF2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pStyle w:val="TLBody"/>
            </w:pPr>
            <w:r>
              <w:rPr>
                <w:b/>
                <w:color w:val="0F172A"/>
              </w:rPr>
              <w:t>规范要求</w:t>
            </w:r>
          </w:p>
        </w:tc>
        <w:tc>
          <w:tcPr>
            <w:tcW w:type="dxa" w:w="4252"/>
            <w:shd w:fill="EAF2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pStyle w:val="TLBody"/>
            </w:pPr>
            <w:r>
              <w:rPr>
                <w:b/>
                <w:color w:val="0F172A"/>
              </w:rPr>
              <w:t>说明</w:t>
            </w:r>
          </w:p>
        </w:tc>
      </w:tr>
      <w:tr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LBody"/>
            </w:pPr>
            <w:r>
              <w:t>全局搜索框</w:t>
            </w:r>
          </w:p>
        </w:tc>
        <w:tc>
          <w:tcPr>
            <w:tcW w:type="dxa" w:w="2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LBody"/>
            </w:pPr>
            <w:r>
              <w:t>大尺寸、单行输入、右侧主按钮</w:t>
            </w:r>
          </w:p>
        </w:tc>
        <w:tc>
          <w:tcPr>
            <w:tcW w:type="dxa" w:w="42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LBody"/>
            </w:pPr>
            <w:r>
              <w:t>首页视觉中心；占据 Hero 底部中轴区域</w:t>
            </w:r>
          </w:p>
        </w:tc>
      </w:tr>
      <w:tr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LBody"/>
            </w:pPr>
            <w:r>
              <w:t>国家筛选 Chips</w:t>
            </w:r>
          </w:p>
        </w:tc>
        <w:tc>
          <w:tcPr>
            <w:tcW w:type="dxa" w:w="2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LBody"/>
            </w:pPr>
            <w:r>
              <w:t>48px 高、圆角 24px、主态蓝底</w:t>
            </w:r>
          </w:p>
        </w:tc>
        <w:tc>
          <w:tcPr>
            <w:tcW w:type="dxa" w:w="42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LBody"/>
            </w:pPr>
            <w:r>
              <w:t>定位为一级过滤器，不是装饰按钮</w:t>
            </w:r>
          </w:p>
        </w:tc>
      </w:tr>
      <w:tr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LBody"/>
            </w:pPr>
            <w:r>
              <w:t>学校目录卡片</w:t>
            </w:r>
          </w:p>
        </w:tc>
        <w:tc>
          <w:tcPr>
            <w:tcW w:type="dxa" w:w="2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LBody"/>
            </w:pPr>
            <w:r>
              <w:t>白底实体卡 + 左 logo 区 + 右内容区</w:t>
            </w:r>
          </w:p>
        </w:tc>
        <w:tc>
          <w:tcPr>
            <w:tcW w:type="dxa" w:w="42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LBody"/>
            </w:pPr>
            <w:r>
              <w:t>单张卡片仅保留校名、英文名、QS、教授/学生数、一句定位描述</w:t>
            </w:r>
          </w:p>
        </w:tc>
      </w:tr>
      <w:tr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LBody"/>
            </w:pPr>
            <w:r>
              <w:t>教授卡片</w:t>
            </w:r>
          </w:p>
        </w:tc>
        <w:tc>
          <w:tcPr>
            <w:tcW w:type="dxa" w:w="2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LBody"/>
            </w:pPr>
            <w:r>
              <w:t>头像/占位 + 姓名 + 角色 + 院系 + 指导学生数</w:t>
            </w:r>
          </w:p>
        </w:tc>
        <w:tc>
          <w:tcPr>
            <w:tcW w:type="dxa" w:w="42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LBody"/>
            </w:pPr>
            <w:r>
              <w:t>用于高价值导师与 PI 浏览</w:t>
            </w:r>
          </w:p>
        </w:tc>
      </w:tr>
      <w:tr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LBody"/>
            </w:pPr>
            <w:r>
              <w:t>学生表格</w:t>
            </w:r>
          </w:p>
        </w:tc>
        <w:tc>
          <w:tcPr>
            <w:tcW w:type="dxa" w:w="2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LBody"/>
            </w:pPr>
            <w:r>
              <w:t>高密度信息表，列头固定、行高 52~56px</w:t>
            </w:r>
          </w:p>
        </w:tc>
        <w:tc>
          <w:tcPr>
            <w:tcW w:type="dxa" w:w="42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LBody"/>
            </w:pPr>
            <w:r>
              <w:t>用于按学生类型、导师、实验室检索</w:t>
            </w:r>
          </w:p>
        </w:tc>
      </w:tr>
    </w:tbl>
    <w:p>
      <w:pPr>
        <w:pStyle w:val="TLH1"/>
      </w:pPr>
      <w:r>
        <w:t>6. 页面模板体系</w:t>
      </w:r>
    </w:p>
    <w:p>
      <w:pPr>
        <w:pStyle w:val="TLBody"/>
        <w:ind w:left="340" w:hanging="227"/>
      </w:pPr>
      <w:r>
        <w:rPr>
          <w:b/>
        </w:rPr>
        <w:t xml:space="preserve">• </w:t>
      </w:r>
      <w:r>
        <w:t>首页模板：Hero + KPI + 搜索 + 国家筛选 + 学校目录卡片。</w:t>
      </w:r>
    </w:p>
    <w:p>
      <w:pPr>
        <w:pStyle w:val="TLBody"/>
        <w:ind w:left="340" w:hanging="227"/>
      </w:pPr>
      <w:r>
        <w:rPr>
          <w:b/>
        </w:rPr>
        <w:t xml:space="preserve">• </w:t>
      </w:r>
      <w:r>
        <w:t>学校详情模板：页头概览 + 教授/学生双视图 + 左侧筛选或顶部筛选 + 列表主体。</w:t>
      </w:r>
    </w:p>
    <w:p>
      <w:pPr>
        <w:pStyle w:val="TLBody"/>
        <w:ind w:left="340" w:hanging="227"/>
      </w:pPr>
      <w:r>
        <w:rPr>
          <w:b/>
        </w:rPr>
        <w:t xml:space="preserve">• </w:t>
      </w:r>
      <w:r>
        <w:t>人才详情模板：基础信息、学术画像、成果、关系网络、操作区。</w:t>
      </w:r>
    </w:p>
    <w:p>
      <w:pPr>
        <w:pStyle w:val="TLBody"/>
        <w:ind w:left="340" w:hanging="227"/>
      </w:pPr>
      <w:r>
        <w:rPr>
          <w:b/>
        </w:rPr>
        <w:t xml:space="preserve">• </w:t>
      </w:r>
      <w:r>
        <w:t>权限配置模板：范围选择、授权关系表、规则说明、审计信息。</w:t>
      </w:r>
    </w:p>
    <w:p>
      <w:pPr>
        <w:pStyle w:val="TLH1"/>
      </w:pPr>
      <w:r>
        <w:t>7. 交互与状态</w:t>
      </w:r>
    </w:p>
    <w:p>
      <w:pPr>
        <w:pStyle w:val="TLBody"/>
        <w:ind w:left="340" w:hanging="227"/>
      </w:pPr>
      <w:r>
        <w:rPr>
          <w:b/>
        </w:rPr>
        <w:t xml:space="preserve">• </w:t>
      </w:r>
      <w:r>
        <w:t>搜索是全局主动作，首页、学校详情页均需明显可见。</w:t>
      </w:r>
    </w:p>
    <w:p>
      <w:pPr>
        <w:pStyle w:val="TLBody"/>
        <w:ind w:left="340" w:hanging="227"/>
      </w:pPr>
      <w:r>
        <w:rPr>
          <w:b/>
        </w:rPr>
        <w:t xml:space="preserve">• </w:t>
      </w:r>
      <w:r>
        <w:t>教授/学生双 TAB 必须维持统一位置和交互反馈，默认优先显示教授视图。</w:t>
      </w:r>
    </w:p>
    <w:p>
      <w:pPr>
        <w:pStyle w:val="TLBody"/>
        <w:ind w:left="340" w:hanging="227"/>
      </w:pPr>
      <w:r>
        <w:rPr>
          <w:b/>
        </w:rPr>
        <w:t xml:space="preserve">• </w:t>
      </w:r>
      <w:r>
        <w:t>空态、异常态、无权限态统一使用中性图形 + 一句解释 + 一项主动作。</w:t>
      </w:r>
    </w:p>
    <w:p>
      <w:pPr>
        <w:pStyle w:val="TLBody"/>
        <w:ind w:left="340" w:hanging="227"/>
      </w:pPr>
      <w:r>
        <w:rPr>
          <w:b/>
        </w:rPr>
        <w:t xml:space="preserve">• </w:t>
      </w:r>
      <w:r>
        <w:t>分页、筛选和权限提示必须在各页面使用同一交互模式，避免页面间逻辑漂移。</w:t>
      </w:r>
    </w:p>
    <w:sectPr w:rsidR="00FC693F" w:rsidRPr="0006063C" w:rsidSect="00034616">
      <w:pgSz w:w="12240" w:h="15840"/>
      <w:pgMar w:top="1020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LTitle">
    <w:name w:val="TL Title"/>
    <w:pPr>
      <w:spacing w:after="120" w:line="300" w:lineRule="auto"/>
    </w:pPr>
    <w:rPr>
      <w:rFonts w:ascii="Microsoft YaHei" w:hAnsi="Microsoft YaHei" w:eastAsia="Microsoft YaHei"/>
      <w:b/>
      <w:color w:val="0F172A"/>
      <w:sz w:val="44"/>
    </w:rPr>
  </w:style>
  <w:style w:type="paragraph" w:customStyle="1" w:styleId="TLH1">
    <w:name w:val="TL H1"/>
    <w:pPr>
      <w:spacing w:after="120" w:line="300" w:lineRule="auto"/>
    </w:pPr>
    <w:rPr>
      <w:rFonts w:ascii="Microsoft YaHei" w:hAnsi="Microsoft YaHei" w:eastAsia="Microsoft YaHei"/>
      <w:b/>
      <w:color w:val="1D4ED8"/>
      <w:sz w:val="32"/>
    </w:rPr>
  </w:style>
  <w:style w:type="paragraph" w:customStyle="1" w:styleId="TLH2">
    <w:name w:val="TL H2"/>
    <w:pPr>
      <w:spacing w:after="120" w:line="300" w:lineRule="auto"/>
    </w:pPr>
    <w:rPr>
      <w:rFonts w:ascii="Microsoft YaHei" w:hAnsi="Microsoft YaHei" w:eastAsia="Microsoft YaHei"/>
      <w:b/>
      <w:color w:val="0F172A"/>
      <w:sz w:val="25"/>
    </w:rPr>
  </w:style>
  <w:style w:type="paragraph" w:customStyle="1" w:styleId="TLBody">
    <w:name w:val="TL Body"/>
    <w:pPr>
      <w:spacing w:after="120" w:line="300" w:lineRule="auto"/>
    </w:pPr>
    <w:rPr>
      <w:rFonts w:ascii="Microsoft YaHei" w:hAnsi="Microsoft YaHei" w:eastAsia="Microsoft YaHei"/>
      <w:b w:val="0"/>
      <w:color w:val="334155"/>
      <w:sz w:val="21"/>
    </w:rPr>
  </w:style>
  <w:style w:type="paragraph" w:customStyle="1" w:styleId="TLSmall">
    <w:name w:val="TL Small"/>
    <w:pPr>
      <w:spacing w:after="120" w:line="300" w:lineRule="auto"/>
    </w:pPr>
    <w:rPr>
      <w:rFonts w:ascii="Microsoft YaHei" w:hAnsi="Microsoft YaHei" w:eastAsia="Microsoft YaHei"/>
      <w:b w:val="0"/>
      <w:color w:val="64748B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