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left"/>
      </w:pPr>
      <w:r>
        <w:rPr>
          <w:rFonts w:eastAsia="Noto Sans CJK SC" w:ascii="Noto Sans CJK SC" w:hAnsi="Noto Sans CJK SC"/>
        </w:rPr>
        <w:t>30 智能人才库项目试运行与上线切换方案（含回滚预案，学术人才子系统 MVP）</w:t>
      </w:r>
    </w:p>
    <w:p>
      <w:pPr>
        <w:pStyle w:val="SubTitleCN"/>
      </w:pPr>
      <w:r>
        <w:rPr>
          <w:rFonts w:eastAsia="Noto Sans CJK SC" w:ascii="Noto Sans CJK SC" w:hAnsi="Noto Sans CJK SC"/>
        </w:rPr>
        <w:t>文档编号：30    版本：V1.0    状态：执行基线</w:t>
      </w:r>
      <w:r>
        <w:rPr>
          <w:rFonts w:eastAsia="Noto Sans CJK SC" w:ascii="Noto Sans CJK SC" w:hAnsi="Noto Sans CJK SC"/>
        </w:rPr>
        <w:br/>
        <w:t>适用范围：用于冻结 DEV/TEST/UAT/PROD 推进顺序、首次导数、版本切换、回滚和试运行问题管理机制</w:t>
      </w:r>
      <w:r>
        <w:rPr>
          <w:rFonts w:eastAsia="Noto Sans CJK SC" w:ascii="Noto Sans CJK SC" w:hAnsi="Noto Sans CJK SC"/>
        </w:rPr>
        <w:br/>
        <w:t>关联文档：15 部署与运行设计说明；21 规则冻结单；24 MVP 测试与验收用例说明；25 第一轮开发任务包与迭代 Backlog；27 首批数据范围清单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智能人才库项目（学术人才子系统 MVP）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编制用途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/ 协同开发 / 测试验收 / 试运行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适用阶段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→ 开发实现 → 测试验收 → 试运行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项目负责人、Claude Code、前后端开发、测试与验收人员</w:t>
            </w:r>
          </w:p>
        </w:tc>
      </w:tr>
    </w:tbl>
    <w:p/>
    <w:p>
      <w:pPr>
        <w:spacing w:before="0" w:after="120" w:line="300" w:lineRule="auto"/>
      </w:pPr>
      <w:r>
        <w:rPr>
          <w:b/>
          <w:color w:val="365F91"/>
          <w:rFonts w:eastAsia="Noto Sans CJK SC" w:ascii="Noto Sans CJK SC" w:hAnsi="Noto Sans CJK SC"/>
        </w:rPr>
        <w:t>编制说明</w:t>
      </w:r>
      <w:r>
        <w:rPr>
          <w:rFonts w:eastAsia="Noto Sans CJK SC" w:ascii="Noto Sans CJK SC" w:hAnsi="Noto Sans CJK SC"/>
        </w:rPr>
        <w:t>：本文件不是部署原理说明，而是试运行与切换执行方案。目标是在“单人 + Claude Code + 内部试用”的前提下，把上线步骤、切换闸口、问题记录和回滚机制具体化，避免试运行阶段出现版本混乱、权限口径不一致或回退无依据的问题。</w:t>
      </w:r>
    </w:p>
    <w:p>
      <w:pPr>
        <w:pStyle w:val="Heading1"/>
      </w:pPr>
      <w:r>
        <w:t>1. 目标与适用范围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目标一</w:t>
      </w:r>
      <w:r>
        <w:rPr>
          <w:rFonts w:eastAsia="Noto Sans CJK SC" w:ascii="Noto Sans CJK SC" w:hAnsi="Noto Sans CJK SC"/>
        </w:rPr>
        <w:t>：将学术人才子系统 MVP 以受控方式从 DEV 推进到 TEST/UAT，再进入内部试运行。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目标二</w:t>
      </w:r>
      <w:r>
        <w:rPr>
          <w:rFonts w:eastAsia="Noto Sans CJK SC" w:ascii="Noto Sans CJK SC" w:hAnsi="Noto Sans CJK SC"/>
        </w:rPr>
        <w:t>：确保 current_active_version 切换具备明确责任人、前置检查和失败回退路径。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目标三</w:t>
      </w:r>
      <w:r>
        <w:rPr>
          <w:rFonts w:eastAsia="Noto Sans CJK SC" w:ascii="Noto Sans CJK SC" w:hAnsi="Noto Sans CJK SC"/>
        </w:rPr>
        <w:t>：保证学校范围权限、统计快照与页面展示口径在试运行期间保持一致。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适用范围</w:t>
      </w:r>
      <w:r>
        <w:rPr>
          <w:rFonts w:eastAsia="Noto Sans CJK SC" w:ascii="Noto Sans CJK SC" w:hAnsi="Noto Sans CJK SC"/>
        </w:rPr>
        <w:t>：本方案适用于学术人才子系统 MVP 首次试运行，以及后续小版本增量更新。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上线口径：</w:t>
            </w:r>
            <w:r>
              <w:rPr>
                <w:rFonts w:eastAsia="Noto Sans CJK SC" w:ascii="Noto Sans CJK SC" w:hAnsi="Noto Sans CJK SC"/>
              </w:rPr>
              <w:t>本项目当前属于内部系统试运行，不等同于对外正式发布。但试运行必须按正式系统标准执行：有环境边界、有闸口、有回滚、有问题单闭环。</w:t>
            </w:r>
          </w:p>
        </w:tc>
      </w:tr>
    </w:tbl>
    <w:p/>
    <w:p>
      <w:pPr>
        <w:pStyle w:val="Heading1"/>
      </w:pPr>
      <w:r>
        <w:t>2. 环境划分与用途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24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环境</w:t>
            </w:r>
          </w:p>
        </w:tc>
        <w:tc>
          <w:tcPr>
            <w:tcW w:type="dxa" w:w="238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主要用途</w:t>
            </w:r>
          </w:p>
        </w:tc>
        <w:tc>
          <w:tcPr>
            <w:tcW w:type="dxa" w:w="283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数据范围</w:t>
            </w:r>
          </w:p>
        </w:tc>
        <w:tc>
          <w:tcPr>
            <w:tcW w:type="dxa" w:w="294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是否允许 current_active_version 切换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DEV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开发联调、局部 smoke、自测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可用 Seed Scope 子集或模拟数据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允许，供开发验证使用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TEST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集成测试、接口联调、功能回归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使用首批数据范围清单中的标准样本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允许，但需标记为测试版本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UAT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业务验收、页面走查、规则校验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与 TEST 相同或更接近试运行数据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允许，由项目负责人控制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PROD/试运行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内部真实试用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通过 UAT 验证后的正式导入数据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允许，仅在上线窗口执行</w:t>
            </w:r>
          </w:p>
        </w:tc>
      </w:tr>
    </w:tbl>
    <w:p/>
    <w:p>
      <w:pPr>
        <w:pStyle w:val="Heading1"/>
      </w:pPr>
      <w:r>
        <w:t>3. 上线前闸口（Entry Gate）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闸口项</w:t>
            </w:r>
          </w:p>
        </w:tc>
        <w:tc>
          <w:tcPr>
            <w:tcW w:type="dxa" w:w="510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通过标准</w:t>
            </w:r>
          </w:p>
        </w:tc>
        <w:tc>
          <w:tcPr>
            <w:tcW w:type="dxa" w:w="226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责任人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功能闸口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24 测试与验收用例中 P0/P1 场景全部通过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27 Seed Scope V0 的学校/国家样本已成功导入并完成抽检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接口闸口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28 DTO 清单与 29 返回报文规范已落地到代码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后端/Claude Code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权限闸口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学校范围授权、总览/搜索/学校页/详情页权限校验一致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 + 验收人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运行闸口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部署脚本、migration、seed、sync、build、smoke 均可执行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回滚闸口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上一版 current_active_version、数据库备份、切换回退步骤已就绪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</w:tr>
    </w:tbl>
    <w:p/>
    <w:p>
      <w:pPr>
        <w:pStyle w:val="Heading1"/>
      </w:pPr>
      <w:r>
        <w:t>4. 试运行推进节奏建议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53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阶段</w:t>
            </w:r>
          </w:p>
        </w:tc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建议时点</w:t>
            </w:r>
          </w:p>
        </w:tc>
        <w:tc>
          <w:tcPr>
            <w:tcW w:type="dxa" w:w="374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关键动作</w:t>
            </w:r>
          </w:p>
        </w:tc>
        <w:tc>
          <w:tcPr>
            <w:tcW w:type="dxa" w:w="232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T-5 ~ T-3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上线前 3–5 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 TEST 回归、修复高优先缺陷、冻结上线清单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 缺陷为 0，P1 缺陷可控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T-2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上线前 2 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在 UAT 环境完成最终数据导入演练与权限演练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UAT 演练成功且有记录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T-1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上线前 1 天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确认 migration、备份、切换脚本、回滚脚本与联系人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上线检查表签字确认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 日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上线窗口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执行正式导数、构建、切换、smoke、业务确认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 current_active_version 切换并通过 smoke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T+1 ~ T+7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试运行首周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问题登记、每日观察、必要时小修复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试运行问题收敛、无高风险项</w:t>
            </w:r>
          </w:p>
        </w:tc>
      </w:tr>
    </w:tbl>
    <w:p/>
    <w:p>
      <w:pPr>
        <w:pStyle w:val="Heading1"/>
      </w:pPr>
      <w:r>
        <w:t>5. 首次上线切换执行步骤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步骤</w:t>
            </w:r>
          </w:p>
        </w:tc>
        <w:tc>
          <w:tcPr>
            <w:tcW w:type="dxa" w:w="4819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执行内容</w:t>
            </w:r>
          </w:p>
        </w:tc>
        <w:tc>
          <w:tcPr>
            <w:tcW w:type="dxa" w:w="328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产出 / 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1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冻结上线版本代码与配置，停止非必要变更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上线版本号、提交号、配置快照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2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执行数据库备份与 current_active_version 记录备份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备份文件、版本记录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3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执行 migration 与必要 seed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migration 日志、seed 日志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4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导入首批数据范围，创建新的 sync_batch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批次号、导数日志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5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运行对象构建任务，生成 school / talent / role / stat / search projection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构建日志、候选版本号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6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执行正式 smoke：overview、countries、schools、school detail、talent detail、permissions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smoke 结果清单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7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由项目负责人确认后切换 current_active_version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生效版本号、切换时间、操作者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8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切换后再执行一次前台 smoke 与权限抽检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试运行检查结果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Step 9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登记上线完成记录并进入观察期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上线记录单、观察期问题单</w:t>
            </w:r>
          </w:p>
        </w:tc>
      </w:tr>
    </w:tbl>
    <w:p/>
    <w:p>
      <w:pPr>
        <w:pStyle w:val="Heading1"/>
      </w:pPr>
      <w:r>
        <w:t>6. 上线窗口 smoke 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检查项</w:t>
            </w:r>
          </w:p>
        </w:tc>
        <w:tc>
          <w:tcPr>
            <w:tcW w:type="dxa" w:w="362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检查内容</w:t>
            </w:r>
          </w:p>
        </w:tc>
        <w:tc>
          <w:tcPr>
            <w:tcW w:type="dxa" w:w="408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总览页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已收录高校数/教授数/学生数/授权学校数可正常展示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页面可打开，统计与 UAT 预期一致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国家目录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只能看到有权限学校所在国家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无越权国家，无空白异常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学校目录与学校页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学校简介、教授人数、学生人数、教授/学生双视图可正常切换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统计快照与列表口径一致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人才详情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基础信息、角色标签、研究方向、代表成果可渲染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无原始字段泄露，无空白异常页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姓名/学校/技术方向搜索可用，空搜索给出提示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命中结果受权限约束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权限配置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管理员可查看与修改学校授权范围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保存后即时生效或按约定生效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日志与监控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接口日志、切换日志、构建日志可查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requestId 与版本号可追溯</w:t>
            </w:r>
          </w:p>
        </w:tc>
      </w:tr>
    </w:tbl>
    <w:p/>
    <w:p>
      <w:pPr>
        <w:pStyle w:val="Heading1"/>
      </w:pPr>
      <w:r>
        <w:t>7. 回滚预案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回滚触发条件</w:t>
      </w:r>
      <w:r>
        <w:rPr>
          <w:rFonts w:eastAsia="Noto Sans CJK SC" w:ascii="Noto Sans CJK SC" w:hAnsi="Noto Sans CJK SC"/>
        </w:rPr>
        <w:t>：切换后出现 P0 故障、学校权限越权、统计口径明显错误、主要页面不可用、版本构建与前台对象不一致。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回滚原则</w:t>
      </w:r>
      <w:r>
        <w:rPr>
          <w:rFonts w:eastAsia="Noto Sans CJK SC" w:ascii="Noto Sans CJK SC" w:hAnsi="Noto Sans CJK SC"/>
        </w:rPr>
        <w:t>：优先回滚 current_active_version 指针，而不是立即回滚整库；只有 migration 或数据结构已破坏运行时，才执行数据库恢复。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回滚时间要求</w:t>
      </w:r>
      <w:r>
        <w:rPr>
          <w:rFonts w:eastAsia="Noto Sans CJK SC" w:ascii="Noto Sans CJK SC" w:hAnsi="Noto Sans CJK SC"/>
        </w:rPr>
        <w:t>：上线窗口内应力争在 15–30 分钟内恢复到上一可用版本。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47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回滚级别</w:t>
            </w:r>
          </w:p>
        </w:tc>
        <w:tc>
          <w:tcPr>
            <w:tcW w:type="dxa" w:w="28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适用场景</w:t>
            </w:r>
          </w:p>
        </w:tc>
        <w:tc>
          <w:tcPr>
            <w:tcW w:type="dxa" w:w="28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执行动作</w:t>
            </w:r>
          </w:p>
        </w:tc>
        <w:tc>
          <w:tcPr>
            <w:tcW w:type="dxa" w:w="238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恢复目标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L1 版本指针回滚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新版本对象构建成功但展示异常/口径异常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将 current_active_version 指回上一成功版本；重做 smoke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前台恢复上一可用数据版本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L2 配置回滚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配置项、权限初始化、环境变量错误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恢复上一版配置并重启相关服务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服务行为恢复到上线前状态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L3 数据库回滚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migration 或导入破坏运行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按备份恢复数据库，再恢复版本指针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数据库与应用恢复到上线前基线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关键提醒：</w:t>
            </w:r>
            <w:r>
              <w:rPr>
                <w:rFonts w:eastAsia="Noto Sans CJK SC" w:ascii="Noto Sans CJK SC" w:hAnsi="Noto Sans CJK SC"/>
              </w:rPr>
              <w:t>只要数据库结构未受破坏，优先采用 L1 版本指针回滚。因为本项目已采用“同步与构建分离 + active version 切换”机制，理论上多数上线问题应能通过切回上一版对象快速止损。</w:t>
            </w:r>
          </w:p>
        </w:tc>
      </w:tr>
    </w:tbl>
    <w:p/>
    <w:p>
      <w:pPr>
        <w:pStyle w:val="Heading1"/>
      </w:pPr>
      <w:r>
        <w:t>8. 试运行期间问题管理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24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优先级</w:t>
            </w:r>
          </w:p>
        </w:tc>
        <w:tc>
          <w:tcPr>
            <w:tcW w:type="dxa" w:w="340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定义</w:t>
            </w:r>
          </w:p>
        </w:tc>
        <w:tc>
          <w:tcPr>
            <w:tcW w:type="dxa" w:w="4989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系统不可用、越权泄露、核心链路不可操作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立即处理；必要时触发回滚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关键页面可用但结果错误、统计明显不准、重要功能异常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24 小时内修复或给出缓解方案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体验问题、次要字段错误、文案/样式问题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纳入迭代修复清单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优化建议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进入后续 Backlog 评估</w:t>
            </w:r>
          </w:p>
        </w:tc>
      </w:tr>
    </w:tbl>
    <w:p/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问题登记字段</w:t>
      </w:r>
      <w:r>
        <w:rPr>
          <w:rFonts w:eastAsia="Noto Sans CJK SC" w:ascii="Noto Sans CJK SC" w:hAnsi="Noto Sans CJK SC"/>
        </w:rPr>
        <w:t>：问题编号、发现时间、发现人、环境、页面/接口、版本号、requestId、现象、影响范围、优先级、处理人、修复状态。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每日观察机制</w:t>
      </w:r>
      <w:r>
        <w:rPr>
          <w:rFonts w:eastAsia="Noto Sans CJK SC" w:ascii="Noto Sans CJK SC" w:hAnsi="Noto Sans CJK SC"/>
        </w:rPr>
        <w:t>：试运行首周建议每天一次问题汇总，关注批次更新、权限投诉、统计偏差与搜索命中体验。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变更纪律</w:t>
      </w:r>
      <w:r>
        <w:rPr>
          <w:rFonts w:eastAsia="Noto Sans CJK SC" w:ascii="Noto Sans CJK SC" w:hAnsi="Noto Sans CJK SC"/>
        </w:rPr>
        <w:t>：试运行期内不得随意叠加新需求；除 P0/P1 修复外，其余优化进入后续迭代。</w:t>
      </w:r>
    </w:p>
    <w:p>
      <w:pPr>
        <w:pStyle w:val="Heading1"/>
      </w:pPr>
      <w:r>
        <w:t>9. 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角色</w:t>
            </w:r>
          </w:p>
        </w:tc>
        <w:tc>
          <w:tcPr>
            <w:tcW w:type="dxa" w:w="793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项目负责人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审批上线窗口、执行或确认 current_active_version 切换、组织验收与回滚决策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Claude Code / 开发实现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完成代码修复、脚本准备、日志输出、smoke 支持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业务验收人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 UAT 走查、试运行反馈、关键页面确认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管理员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执行或验证用户学校范围授权配置</w:t>
            </w:r>
          </w:p>
        </w:tc>
      </w:tr>
    </w:tbl>
    <w:p/>
    <w:p>
      <w:pPr>
        <w:pStyle w:val="Heading1"/>
      </w:pPr>
      <w:r>
        <w:t>10. 上线记录单（建议模板）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记录项</w:t>
            </w:r>
          </w:p>
        </w:tc>
        <w:tc>
          <w:tcPr>
            <w:tcW w:type="dxa" w:w="7370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建议填写内容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上线日期/时间窗口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例如 2026-03-25 20:00–21:00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版本号 / 提交号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应用版本、Git 提交号或构建号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执行 migration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是/否 + 具体版本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导入批次号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sync_batch 编号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候选版本号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build_version / active_version 候选编号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切换执行人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姓名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切换确认人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姓名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smoke 结论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通过 / 有条件通过 / 失败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是否触发回滚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否 / 是（说明原因）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观察期问题摘要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试运行首日关键问题概览</w:t>
            </w:r>
          </w:p>
        </w:tc>
      </w:tr>
    </w:tbl>
    <w:p/>
    <w:p>
      <w:pPr>
        <w:pStyle w:val="Heading1"/>
      </w:pPr>
      <w:r>
        <w:t>11. 结论</w:t>
      </w:r>
    </w:p>
    <w:p>
      <w:pPr>
        <w:spacing w:before="0" w:after="120" w:line="300" w:lineRule="auto"/>
      </w:pPr>
      <w:r>
        <w:rPr>
          <w:b/>
          <w:rFonts w:eastAsia="Noto Sans CJK SC" w:ascii="Noto Sans CJK SC" w:hAnsi="Noto Sans CJK SC"/>
        </w:rPr>
        <w:t>本项目已经具备以受控方式进入试运行的文档与工程基础，但上线切换必须严格执行“先备份、再导数、后构建、再切换、再 smoke”的顺序。</w:t>
      </w:r>
      <w:r>
        <w:rPr>
          <w:rFonts w:eastAsia="Noto Sans CJK SC" w:ascii="Noto Sans CJK SC" w:hAnsi="Noto Sans CJK SC"/>
        </w:rPr>
        <w:t>对于学术人才子系统 MVP，最重要的不是一次性把所有能力都上线，而是确保学校范围权限、统计口径和当前生效版本的一致性。只要 active version 机制、回滚路径和问题登记机制运行良好，试运行阶段就能在可控风险下持续迭代。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368"/>
        <w:sz w:val="17"/>
      </w:rPr>
      <w:t>智能人才库项目｜文档 30｜试运行与上线切换方案（含回滚预案）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after="160"/>
    </w:pPr>
    <w:rPr>
      <w:rFonts w:ascii="Noto Sans CJK SC" w:hAnsi="Noto Sans CJK SC" w:eastAsia="Noto Sans CJK SC"/>
      <w:b/>
      <w:color w:val="225588"/>
      <w:sz w:val="40"/>
    </w:rPr>
  </w:style>
  <w:style w:type="paragraph" w:customStyle="1" w:styleId="SubTitleCN">
    <w:name w:val="SubTitleCN"/>
    <w:basedOn w:val="Normal"/>
    <w:pPr>
      <w:spacing w:after="200"/>
    </w:pPr>
    <w:rPr>
      <w:color w:val="5F6368"/>
      <w:sz w:val="21"/>
      <w:rFonts w:eastAsia="Noto Sans CJK SC" w:ascii="Noto Sans CJK SC" w:hAnsi="Noto Sans CJK SC"/>
    </w:rPr>
  </w:style>
  <w:style w:type="paragraph" w:customStyle="1" w:styleId="Callout">
    <w:name w:val="Callout"/>
    <w:basedOn w:val="Normal"/>
    <w:pPr>
      <w:spacing w:before="80" w:after="120"/>
      <w:ind w:left="227" w:right="113"/>
    </w:pPr>
    <w:rPr>
      <w:rFonts w:ascii="Noto Sans CJK SC" w:hAnsi="Noto Sans CJK SC" w:eastAsia="Noto Sans CJK SC"/>
      <w:color w:val="1E1E1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