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eastAsia="Microsoft YaHei" w:ascii="Calibri" w:hAnsi="Calibri"/>
        </w:rPr>
        <w:t>智能人才库项目</w:t>
        <w:br/>
        <w:t>总体方案设计说明（项目级）</w:t>
      </w:r>
    </w:p>
    <w:p>
      <w:pPr>
        <w:pStyle w:val="Subtitle"/>
        <w:spacing w:line="288" w:lineRule="auto" w:before="0" w:after="360"/>
        <w:jc w:val="left"/>
      </w:pPr>
      <w:r>
        <w:rPr>
          <w:rFonts w:eastAsia="Microsoft YaHei" w:ascii="Calibri" w:hAnsi="Calibri"/>
        </w:rPr>
        <w:t>适用范围：整体智能人才库项目；用于明确项目级设计思路、能力分层、阶段衔接与扩展路线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文档编号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b/>
                <w:color w:val="282828"/>
                <w:sz w:val="20"/>
                <w:rFonts w:eastAsia="Microsoft YaHei" w:ascii="Calibri" w:hAnsi="Calibri"/>
              </w:rPr>
              <w:t>07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版本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V1.0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阶段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方案设计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编制日期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7FAFD"/>
            <w:shd w:fill="F8FB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2026-03-16</w:t>
            </w:r>
          </w:p>
        </w:tc>
      </w:tr>
      <w:tr>
        <w:tc>
          <w:tcPr>
            <w:tcW w:type="dxa" w:w="2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D9E2F3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1F4E79"/>
                <w:sz w:val="20"/>
                <w:rFonts w:eastAsia="Microsoft YaHei" w:ascii="Calibri" w:hAnsi="Calibri"/>
              </w:rPr>
              <w:t>适用对象</w:t>
            </w:r>
          </w:p>
        </w:tc>
        <w:tc>
          <w:tcPr>
            <w:tcW w:type="dxa" w:w="70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FFFFF"/>
          </w:tcPr>
          <w:p>
            <w:pPr>
              <w:spacing w:line="276" w:lineRule="auto" w:before="0" w:after="40"/>
              <w:jc w:val="left"/>
            </w:pPr>
            <w:r>
              <w:rPr>
                <w:color w:val="282828"/>
                <w:sz w:val="20"/>
                <w:rFonts w:eastAsia="Microsoft YaHei" w:ascii="Calibri" w:hAnsi="Calibri"/>
              </w:rPr>
              <w:t>项目 Owner / 产品与设计 / 架构与开发 / 测试与质量 / 业务试用方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EDF3F9"/>
          </w:tcPr>
          <w:p>
            <w:pPr>
              <w:spacing w:line="288" w:lineRule="auto" w:before="40" w:after="40"/>
            </w:pPr>
            <w:r>
              <w:rPr>
                <w:i/>
                <w:color w:val="282828"/>
                <w:sz w:val="21"/>
                <w:rFonts w:eastAsia="Microsoft YaHei" w:ascii="Calibri" w:hAnsi="Calibri"/>
              </w:rPr>
              <w:t>使用说明：本文件属于方案设计阶段交付物，重点回答“准备如何实现”，用于衔接需求分析、开发任务包拆分、技术评审与阶段验收。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1. 设计目标与定位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本文件从整体智能人才库项目视角，定义项目级方案设计的总体思路。其目标不是替代子系统级详细设计，而是统一“整体如何建设、第一阶段如何落、后续如何扩”的项目级设计基线。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面向公司内部招聘场景建设智能人才基础设施，而非一次性覆盖全部人才类型的大而全平台。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坚持高标准 MVP / 受控试运行原则：第一阶段范围收敛，但工程质量、交互体验和稳定性按正式业务系统标准要求。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采用“人 + AI 协同开发”的推进方式：业务口径、边界与验收由人主导，AI 参与实现、文档与测试辅助。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第一阶段以学术人才子系统为突破口，以 OpenAlex 作为 Source Layer，并为后续自建采集服务和多源融合预留空间。</w:t>
      </w:r>
    </w:p>
    <w:p>
      <w:pPr>
        <w:pStyle w:val="Heading1"/>
      </w:pPr>
      <w:r>
        <w:rPr>
          <w:rFonts w:eastAsia="Microsoft YaHei" w:ascii="Calibri" w:hAnsi="Calibri"/>
        </w:rPr>
        <w:t>2. 总体建设原则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7776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原则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设计要求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业务导向</w:t>
            </w:r>
          </w:p>
        </w:tc>
        <w:tc>
          <w:tcPr>
            <w:tcW w:type="dxa" w:w="77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所有能力围绕招聘场景展开，优先支撑人才发现、筛选、画像查看、沉淀与复用。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范围控制</w:t>
            </w:r>
          </w:p>
        </w:tc>
        <w:tc>
          <w:tcPr>
            <w:tcW w:type="dxa" w:w="77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第一阶段只打通学术人才主链路；学院、实验室等细分能力只做预留，不强行一次性做满。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模型解耦</w:t>
            </w:r>
          </w:p>
        </w:tc>
        <w:tc>
          <w:tcPr>
            <w:tcW w:type="dxa" w:w="77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业务对象与单一外部数据源解耦，避免将 OpenAlex 字段直接等同于内部领域模型。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质量优先</w:t>
            </w:r>
          </w:p>
        </w:tc>
        <w:tc>
          <w:tcPr>
            <w:tcW w:type="dxa" w:w="77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内部试用版本也要求清晰的信息层级、稳定的核心链路、可维护的工程结构和可追踪的数据同步过程。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可扩展性</w:t>
            </w:r>
          </w:p>
        </w:tc>
        <w:tc>
          <w:tcPr>
            <w:tcW w:type="dxa" w:w="77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从一开始预留多源接入、统一人才主档、权限扩展和地图系统对接接口。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3. 项目总体能力蓝图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整体智能人才库围绕“来源接入 -&gt; 结构化对象 -&gt; 搜索与洞察 -&gt; 人才池沉淀 -&gt; 地图联动”五段式主线建设。第一阶段只落其中与学术人才相关的最小闭环。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680"/>
        <w:gridCol w:w="3024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能力层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项目级定义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第一阶段落点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来源接入层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接入外部学术、开源、工业、竞赛、校园博士等来源数据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接入 OpenAlex；预留后续采集服务接口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领域对象层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形成统一的人才、学校、组织、技术方向、关系等对象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形成学术人才、学校、国家、角色与统计对象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应用能力层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搜索、浏览、画像、排序、关系洞察、人才池沉淀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先做总览、搜索、按国家/学校浏览、学校页、人才列表、详情和权限控制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管理与治理层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权限、日志、口径、同步、监控、审计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先做按学校范围授权、同步任务和基础日志审计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联动扩展层</w:t>
            </w:r>
          </w:p>
        </w:tc>
        <w:tc>
          <w:tcPr>
            <w:tcW w:type="dxa" w:w="4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与人才管理系统的人才地图 / 技术地图 / 合作地图对接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先明确接口预留和对象映射规则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4. 总体逻辑架构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项目级逻辑架构建议分为五层：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Source Layer：承接外部来源系统；第一阶段为 OpenAlex，后续可接入自建爬取采集服务和其他公开来源。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Ingestion &amp; Processing Layer：完成抓取、分页、重试、限流、清洗、去重、映射、增量同步和统计加工。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Domain Layer：沉淀统一人才领域对象，例如 Talent、School、Country、Topic、Role Profile、Collaboration Edge。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Application Layer：承载首页总览、学校浏览、学校信息页、人才搜索、人才列表、详情页、权限配置等应用能力。</w:t>
      </w:r>
    </w:p>
    <w:p>
      <w:pPr>
        <w:pStyle w:val="ListNumber"/>
        <w:spacing w:line="300" w:lineRule="auto" w:before="0" w:after="40"/>
        <w:ind w:left="216"/>
      </w:pPr>
      <w:r>
        <w:rPr>
          <w:rFonts w:eastAsia="Microsoft YaHei" w:ascii="Calibri" w:hAnsi="Calibri"/>
          <w:sz w:val="21"/>
        </w:rPr>
        <w:t>Integration Layer：向人才地图 / 技术地图 / 合作地图等外围系统提供对象映射与接口能力。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fill="FFF2CC"/>
          </w:tcPr>
          <w:p>
            <w:pPr>
              <w:spacing w:line="288" w:lineRule="auto" w:before="40" w:after="40"/>
            </w:pPr>
            <w:r>
              <w:rPr>
                <w:b/>
                <w:color w:val="1F4E79"/>
                <w:rFonts w:eastAsia="Microsoft YaHei" w:ascii="Calibri" w:hAnsi="Calibri"/>
              </w:rPr>
              <w:t>项目级边界：</w:t>
            </w:r>
            <w:r>
              <w:rPr>
                <w:rFonts w:eastAsia="Microsoft YaHei" w:ascii="Calibri" w:hAnsi="Calibri"/>
              </w:rPr>
              <w:t>本阶段只要求在设计层面预留整体能力，不强制第一阶段实现所有多源接入和全局统一人才主档。</w:t>
            </w:r>
            <w:r>
              <w:br/>
            </w:r>
            <w:r>
              <w:rPr>
                <w:rFonts w:eastAsia="Microsoft YaHei" w:ascii="Calibri" w:hAnsi="Calibri"/>
              </w:rPr>
              <w:t>项目级逻辑架构必须能够支撑未来开源生态、工业界、竞赛与校园博士人才池的并入。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5. 分阶段设计策略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032"/>
        <w:gridCol w:w="3744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阶段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建设重点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主要交付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阶段一：学术人才子系统 MVP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验证招聘主链路；形成可稳定试用版本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总览、搜索、国家/学校浏览、学校信息页、人才列表与详情、学校范围权限控制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阶段二：多源扩展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引入更多外部来源，补学院/实验室等细分浏览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自建采集服务、更多来源接入、角色识别增强、分类细化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阶段三：统一人才底座与地图联动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沉淀统一人才主档与关系图谱</w:t>
            </w:r>
          </w:p>
        </w:tc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人才地图、技术地图、合作地图的对象对接和联动使用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6. 第一阶段总体方案要点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用户进入系统后，首先看到授权范围内的总体规模信息：已收录高校数、教授类人才数、学生类人才数。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支持通过关键字直接搜索人才，也支持按国家 -&gt; 学校的路径逐层浏览并进入学校页与人才列表。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学校页展示学校介绍及与招聘判断相关的基础统计，如教授人数、学生人数，并提供进入人才列表的入口。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人才列表以学校为主分类维度，学院 / 实验室相关字段预留但不作为第一阶段强依赖。</w:t>
      </w:r>
    </w:p>
    <w:p>
      <w:pPr>
        <w:pStyle w:val="ListBullet"/>
        <w:spacing w:line="300" w:lineRule="auto" w:before="0" w:after="40"/>
        <w:ind w:left="216" w:firstLine="0"/>
      </w:pPr>
      <w:r>
        <w:rPr>
          <w:rFonts w:eastAsia="Microsoft YaHei" w:ascii="Calibri" w:hAnsi="Calibri"/>
          <w:sz w:val="21"/>
        </w:rPr>
        <w:t>管理员可按学校范围为普通用户配置可查看的数据边界；权限统一作用于总览、搜索、学校页、人才列表和详情页。</w:t>
      </w:r>
    </w:p>
    <w:p>
      <w:pPr>
        <w:pStyle w:val="Heading1"/>
      </w:pPr>
      <w:r>
        <w:rPr>
          <w:rFonts w:eastAsia="Microsoft YaHei" w:ascii="Calibri" w:hAnsi="Calibri"/>
        </w:rPr>
        <w:t>7. 与后续子系统的关系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学术人才子系统不是独立孤岛，而是整体智能人才库的第一块可运行拼图。后续子系统建议沿用同一套项目级分层思路：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4104"/>
        <w:gridCol w:w="3672"/>
      </w:tblGrid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后续子系统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建议共用能力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建议差异化处理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开源生态人才子系统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统一人才主档、搜索框架、权限控制、关系网络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来源接入和评价口径不同，需重建 Repo / Commit / Issue 等对象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行业 / 工业界人才子系统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统一学校/组织对象、画像框架、人才池沉淀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来源更多样，履历与公司角色建模需增强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竞赛人才子系统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统一用户权限、标签体系、导出与沉淀能力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竞赛成绩、榜单、团队角色等对象差异较大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校园招聘博士人才池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统一搜索、画像与专项人才池能力</w:t>
            </w:r>
          </w:p>
        </w:tc>
        <w:tc>
          <w:tcPr>
            <w:tcW w:type="dxa" w:w="36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与校招流程、岗位需求和专项活动联动更紧密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8. 方案设计阶段交付清单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5472"/>
      </w:tblGrid>
      <w:tr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文档</w:t>
            </w:r>
          </w:p>
        </w:tc>
        <w:tc>
          <w:tcPr>
            <w:tcW w:type="dxa" w:w="475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F4E79"/>
          </w:tcPr>
          <w:p>
            <w:pPr>
              <w:spacing w:line="276" w:lineRule="auto" w:before="0" w:after="40"/>
              <w:jc w:val="center"/>
            </w:pPr>
            <w:r>
              <w:rPr>
                <w:b/>
                <w:color w:val="FFFFFF"/>
                <w:sz w:val="20"/>
                <w:rFonts w:eastAsia="Microsoft YaHei" w:ascii="Calibri" w:hAnsi="Calibri"/>
              </w:rPr>
              <w:t>作用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总体方案设计说明（本文件）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统一项目级设计思路与阶段衔接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学术人才子系统 MVP 方案设计说明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定义第一阶段的功能组织与模块关系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数据与技术架构设计说明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明确分层、服务、存储与数据流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详细设计说明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按模块描述实现思路与处理规则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接口设计说明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定义前后端与管理接口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数据模型与数据字典说明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统一字段、对象、枚举与统计口径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页面原型与交互设计说明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落页面信息结构、状态与关键操作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权限与安全设计说明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明确角色、授权模型与审计要求</w:t>
            </w:r>
          </w:p>
        </w:tc>
      </w:tr>
      <w:tr>
        <w:tc>
          <w:tcPr>
            <w:tcW w:type="dxa" w:w="37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部署与运行设计说明</w:t>
            </w:r>
          </w:p>
        </w:tc>
        <w:tc>
          <w:tcPr>
            <w:tcW w:type="dxa" w:w="54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DF3F9"/>
          </w:tcPr>
          <w:p>
            <w:pPr>
              <w:spacing w:line="276" w:lineRule="auto" w:before="0" w:after="40"/>
            </w:pPr>
            <w:r>
              <w:rPr>
                <w:sz w:val="20"/>
                <w:rFonts w:eastAsia="Microsoft YaHei" w:ascii="Calibri" w:hAnsi="Calibri"/>
              </w:rPr>
              <w:t>说明环境、发布、监控与恢复方案</w:t>
            </w:r>
          </w:p>
        </w:tc>
      </w:tr>
    </w:tbl>
    <w:p/>
    <w:p>
      <w:pPr>
        <w:pStyle w:val="Heading1"/>
      </w:pPr>
      <w:r>
        <w:rPr>
          <w:rFonts w:eastAsia="Microsoft YaHei" w:ascii="Calibri" w:hAnsi="Calibri"/>
        </w:rPr>
        <w:t>9. 本文件结论</w:t>
      </w:r>
    </w:p>
    <w:p>
      <w:pPr>
        <w:spacing w:line="312" w:lineRule="auto" w:before="0" w:after="120"/>
      </w:pPr>
      <w:r>
        <w:rPr>
          <w:rFonts w:eastAsia="Microsoft YaHei" w:ascii="Calibri" w:hAnsi="Calibri"/>
        </w:rPr>
        <w:t>项目级总体方案设计的核心结论是：整体智能人才库项目应采用分层解耦、分阶段演进、质量优先的设计方式推进。第一阶段围绕学术人才主链路形成高标准 MVP；后续在不推翻现有结构的前提下，逐步扩展多源接入、统一人才底座和地图联动能力。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224" w:right="1368" w:bottom="1152" w:left="1368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6060"/>
        <w:sz w:val="18"/>
        <w:rFonts w:eastAsia="Microsoft YaHei" w:ascii="Calibri" w:hAnsi="Calibri"/>
      </w:rPr>
      <w:t xml:space="preserve">总体方案设计说明（项目级）  |  第 </w:t>
    </w:r>
    <w:r>
      <w:rPr>
        <w:rFonts w:eastAsia="Microsoft YaHei" w:ascii="Calibri" w:hAnsi="Calibri"/>
      </w:rPr>
      <w:fldChar w:fldCharType="begin"/>
      <w:instrText xml:space="preserve">PAGE</w:instrText>
      <w:fldChar w:fldCharType="end"/>
    </w:r>
    <w:r>
      <w:rPr>
        <w:color w:val="606060"/>
        <w:sz w:val="18"/>
        <w:rFonts w:eastAsia="Microsoft YaHei" w:ascii="Calibri" w:hAnsi="Calibri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606060"/>
        <w:sz w:val="18"/>
        <w:rFonts w:eastAsia="Microsoft YaHei" w:ascii="Calibri" w:hAnsi="Calibri"/>
      </w:rPr>
      <w:t>总体方案设计说明（项目级）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472C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0606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