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eastAsia="Microsoft YaHei" w:ascii="Calibri" w:hAnsi="Calibri"/>
        </w:rPr>
        <w:t>智能人才库项目</w:t>
        <w:br/>
        <w:t>详细设计说明（学术人才子系统 MVP）</w:t>
      </w:r>
    </w:p>
    <w:p>
      <w:pPr>
        <w:pStyle w:val="Subtitle"/>
        <w:spacing w:line="288" w:lineRule="auto" w:before="0" w:after="360"/>
        <w:jc w:val="left"/>
      </w:pPr>
      <w:r>
        <w:rPr>
          <w:rFonts w:eastAsia="Microsoft YaHei" w:ascii="Calibri" w:hAnsi="Calibri"/>
        </w:rPr>
        <w:t>适用范围：第一阶段学术人才子系统 MVP；用于按模块描述实现逻辑、处理规则、异常策略与日志要求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文档编号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b/>
                <w:color w:val="282828"/>
                <w:sz w:val="20"/>
                <w:rFonts w:eastAsia="Microsoft YaHei" w:ascii="Calibri" w:hAnsi="Calibri"/>
              </w:rPr>
              <w:t>10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版本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V1.0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阶段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方案设计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编制日期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2026-03-16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适用对象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开发 / 测试 / 架构 / 产品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EDF3F9"/>
          </w:tcPr>
          <w:p>
            <w:pPr>
              <w:spacing w:line="288" w:lineRule="auto" w:before="40" w:after="40"/>
            </w:pPr>
            <w:r>
              <w:rPr>
                <w:i/>
                <w:color w:val="282828"/>
                <w:sz w:val="21"/>
                <w:rFonts w:eastAsia="Microsoft YaHei" w:ascii="Calibri" w:hAnsi="Calibri"/>
              </w:rPr>
              <w:t>使用说明：本文件属于方案设计阶段交付物，重点回答“准备如何实现”，用于衔接需求分析、开发任务包拆分、技术评审与阶段验收。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1. 设计范围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本文件聚焦第一阶段需要落地的核心模块，强调“模块怎么实现、在哪一层实现、遇到异常怎么处理”。接口字段明细和数据字典分别见接口设计说明与数据模型文档。</w:t>
      </w:r>
    </w:p>
    <w:p>
      <w:pPr>
        <w:pStyle w:val="Heading1"/>
      </w:pPr>
      <w:r>
        <w:rPr>
          <w:rFonts w:eastAsia="Microsoft YaHei" w:ascii="Calibri" w:hAnsi="Calibri"/>
        </w:rPr>
        <w:t>2. 模块拆分总览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456"/>
        <w:gridCol w:w="4320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模块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主要职责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实现重点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M1 首页总览模块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展示授权范围内的高校数、教授数、学生数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读取统计快照 + 权限过滤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M2 国家 / 学校目录模块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按国家浏览学校并进入学校页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目录缓存、按国家聚合、学校目录排序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M3 学校信息页模块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展示学校介绍与学校级统计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学校对象查询、学校统计快照、学校列表跳转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M4 人才列表模块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展示学校内或搜索结果的人才列表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角色标签、分页、排序、权限过滤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M5 人才详情模块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展示结构化画像、代表成果和基础关系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Talent 主对象聚合、详情字段裁剪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M6 搜索模块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支持关键字搜索人才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搜索解析、过滤条件拼装、结果高亮（可选）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M7 权限管理模块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管理员维护用户可见学校范围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授权保存、权限检查、授权缓存刷新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M8 数据同步与构建模块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同步数据并构建可查询对象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任务编排、失败重试、日志、重跑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3. M1 首页总览模块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输入：当前登录用户标识。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处理：读取最近一版统计快照，按用户授权学校范围过滤并汇总高校数、教授类人才数、学生类人才数。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输出：总览指标卡片与搜索入口所需页面数据。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异常：若统计快照不可用，返回“数据准备中”状态，不阻塞用户进入搜索和学校浏览。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日志：记录接口响应时间、命中快照版本、用户授权范围数量。</w:t>
      </w:r>
    </w:p>
    <w:p>
      <w:pPr>
        <w:pStyle w:val="Heading1"/>
      </w:pPr>
      <w:r>
        <w:rPr>
          <w:rFonts w:eastAsia="Microsoft YaHei" w:ascii="Calibri" w:hAnsi="Calibri"/>
        </w:rPr>
        <w:t>4. M2 国家 / 学校目录模块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国家列表按授权范围内存在学校数据的国家返回，避免展示用户无权限进入的空国家。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学校目录返回学校名称、学校简介摘要、教授人数、学生人数和进入学校页入口。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学校目录支持关键字过滤学校名称，但过滤后的学校集合仍受授权范围限制。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若学校未配置完整介绍信息，允许展示基础对象信息与“信息待补充”提示。</w:t>
      </w:r>
    </w:p>
    <w:p>
      <w:pPr>
        <w:pStyle w:val="Heading1"/>
      </w:pPr>
      <w:r>
        <w:rPr>
          <w:rFonts w:eastAsia="Microsoft YaHei" w:ascii="Calibri" w:hAnsi="Calibri"/>
        </w:rPr>
        <w:t>5. M3 学校信息页模块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设计点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展示内容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学校名称、国家 / 地区、学校介绍、教授人数、学生人数、进入人才列表按钮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数据来源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 主对象 + School Stat Snapshot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权限控制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无权访问学校时返回无权限页，不得通过直接输入 URL 绕过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异常策略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学校对象存在但统计未生成时，统计模块显示“暂未生成”；学校对象不存在时返回 404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6. M4 人才列表模块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列表输入可来自学校上下文或关键字搜索上下文，两种上下文最终落到统一查询服务。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列表最小展示字段：姓名、当前角色、当前学校、技术方向标签、代表成果摘要、活跃度提示。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排序建议第一阶段采用固定策略：默认综合排序 + 最近活跃度辅助；不在第一阶段引入复杂个性化排序。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分页必须稳定；分页后列表结果总数和页码信息受权限过滤后的数据集影响。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若角色识别不可靠，展示“待确认”标签；前端可给予淡色标签以降低误导。</w:t>
      </w:r>
    </w:p>
    <w:p>
      <w:pPr>
        <w:pStyle w:val="Heading1"/>
      </w:pPr>
      <w:r>
        <w:rPr>
          <w:rFonts w:eastAsia="Microsoft YaHei" w:ascii="Calibri" w:hAnsi="Calibri"/>
        </w:rPr>
        <w:t>7. M5 人才详情模块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详情页聚合 Talent 主对象、Role Profile、代表成果与学校上下文。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详情页输出以“帮助判断是否值得继续跟进”为目标，不追求一次性呈现所有原始字段。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第一阶段关系信息可先展示基础合作者 / 合作网络摘要，不强制实现完整图谱可视化。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详情页所有字段也应受权限控制；无权限时直接拒绝访问。</w:t>
      </w:r>
    </w:p>
    <w:p>
      <w:pPr>
        <w:pStyle w:val="Heading1"/>
      </w:pPr>
      <w:r>
        <w:rPr>
          <w:rFonts w:eastAsia="Microsoft YaHei" w:ascii="Calibri" w:hAnsi="Calibri"/>
        </w:rPr>
        <w:t>8. M6 搜索模块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设计点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搜索入口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首页与列表页顶部统一搜索框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搜索对象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人才姓名、学校名称、技术方向关键词等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查询逻辑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先解析关键字，再拼接学校范围过滤条件；可按学校上下文继续缩小范围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结果返回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统一输出人才列表对象；后续可扩展学校命中或建议词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性能策略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第一阶段使用轻量全文检索或关键词匹配；搜索超时时返回友好提示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9. M7 权限管理模块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管理员可为用户配置一个或多个可查看学校；第一阶段不做学院 / 实验室级授权。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授权保存后需触发权限缓存刷新；若未使用缓存，也需保证后续访问立即生效。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权限校验在应用服务层统一处理，不依赖前端隐藏入口替代真正的权限控制。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建议记录授权变更日志：变更人、变更时间、变更前后学校集合。</w:t>
      </w:r>
    </w:p>
    <w:p>
      <w:pPr>
        <w:pStyle w:val="Heading1"/>
      </w:pPr>
      <w:r>
        <w:rPr>
          <w:rFonts w:eastAsia="Microsoft YaHei" w:ascii="Calibri" w:hAnsi="Calibri"/>
        </w:rPr>
        <w:t>10. M8 数据同步与构建模块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同步任务与对象构建任务分离：前者负责拉取与原始数据留存，后者负责领域对象和统计快照构建。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同步失败时记录错误并支持按批次重跑；不得直接覆盖上一个可用版本。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对象构建完成后再更新“当前生效版本”，避免前台读取到半成品数据。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建议为关键任务记录耗时、成功条数、失败条数、版本号和操作者 / 调度来源。</w:t>
      </w:r>
    </w:p>
    <w:p>
      <w:pPr>
        <w:pStyle w:val="Heading1"/>
      </w:pPr>
      <w:r>
        <w:rPr>
          <w:rFonts w:eastAsia="Microsoft YaHei" w:ascii="Calibri" w:hAnsi="Calibri"/>
        </w:rPr>
        <w:t>11. 异常与日志设计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场景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处理建议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外部来源接口超时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记录任务日志并按重试策略处理，不影响前台当前可用版本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角色识别失败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字段置为待确认并记录识别原因，不阻断对象上线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学校统计缺失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前台展示统计准备中；后台生成补偿任务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无权限访问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返回统一无权限页并记录访问审计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搜索无结果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返回空态页，引导用户换关键字或改用学校浏览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12. 本文件结论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详细设计阶段的重点，不是把所有细节一次性做重，而是确保每个模块的职责边界清楚、错误处理明确、日志可追踪、后续扩展有余地。这样既便于 AI 协同开发，也便于后续质量把关和回归测试。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24" w:right="1368" w:bottom="1152" w:left="1368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060"/>
        <w:sz w:val="18"/>
        <w:rFonts w:eastAsia="Microsoft YaHei" w:ascii="Calibri" w:hAnsi="Calibri"/>
      </w:rPr>
      <w:t xml:space="preserve">详细设计说明  |  第 </w:t>
    </w:r>
    <w:r>
      <w:rPr>
        <w:rFonts w:eastAsia="Microsoft YaHei" w:ascii="Calibri" w:hAnsi="Calibri"/>
      </w:rPr>
      <w:fldChar w:fldCharType="begin"/>
      <w:instrText xml:space="preserve">PAGE</w:instrText>
      <w:fldChar w:fldCharType="end"/>
    </w:r>
    <w:r>
      <w:rPr>
        <w:color w:val="606060"/>
        <w:sz w:val="18"/>
        <w:rFonts w:eastAsia="Microsoft YaHei" w:ascii="Calibri" w:hAnsi="Calibr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06060"/>
        <w:sz w:val="18"/>
        <w:rFonts w:eastAsia="Microsoft YaHei" w:ascii="Calibri" w:hAnsi="Calibri"/>
      </w:rPr>
      <w:t>详细设计说明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