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智能人才库项目</w:t>
        <w:br/>
        <w:t>模块详细设计说明（学术人才子系统 MVP）</w:t>
      </w:r>
    </w:p>
    <w:p>
      <w:pPr>
        <w:pStyle w:val="Subtitle"/>
      </w:pPr>
      <w:r>
        <w:t>文档定位：开发前置文档；用于把 MVP 功能拆成可由 Claude Code 逐模块实现、联调和验收的设计单元。</w:t>
      </w:r>
    </w:p>
    <w:tbl>
      <w:tblPr>
        <w:tblStyle w:val="TableGrid"/>
        <w:tblW w:type="auto" w:w="0"/>
        <w:jc w:val="center"/>
        <w:tblLook w:firstColumn="1" w:firstRow="1" w:lastColumn="0" w:lastRow="0" w:noHBand="0" w:noVBand="1" w:val="04A0"/>
      </w:tblPr>
      <w:tblGrid>
        <w:gridCol w:w="4957"/>
        <w:gridCol w:w="4957"/>
      </w:tblGrid>
      <w:tr>
        <w:tc>
          <w:tcPr>
            <w:tcW w:type="dxa" w:w="2041"/>
            <w:vAlign w:val="center"/>
            <w:tcMar>
              <w:top w:w="90" w:type="dxa"/>
              <w:left w:w="90" w:type="dxa"/>
              <w:bottom w:w="90" w:type="dxa"/>
              <w:right w:w="90" w:type="dxa"/>
            </w:tcMar>
            <w:shd w:fill="EAF1FB"/>
          </w:tcPr>
          <w:p>
            <w:pPr>
              <w:spacing w:before="0" w:after="0" w:line="276" w:lineRule="auto"/>
              <w:jc w:val="left"/>
            </w:pPr>
            <w:r/>
            <w:r>
              <w:rPr>
                <w:rFonts w:ascii="Microsoft YaHei" w:hAnsi="Microsoft YaHei" w:eastAsia="Microsoft YaHei"/>
                <w:b/>
                <w:color w:val="464646"/>
                <w:sz w:val="19"/>
              </w:rPr>
              <w:t>适用范围</w:t>
            </w:r>
          </w:p>
        </w:tc>
        <w:tc>
          <w:tcPr>
            <w:tcW w:type="dxa" w:w="703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9"/>
              </w:rPr>
              <w:t>第一阶段学术人才子系统 MVP</w:t>
            </w:r>
          </w:p>
        </w:tc>
      </w:tr>
      <w:tr>
        <w:tc>
          <w:tcPr>
            <w:tcW w:type="dxa" w:w="2041"/>
            <w:vAlign w:val="center"/>
            <w:tcMar>
              <w:top w:w="90" w:type="dxa"/>
              <w:left w:w="90" w:type="dxa"/>
              <w:bottom w:w="90" w:type="dxa"/>
              <w:right w:w="90" w:type="dxa"/>
            </w:tcMar>
            <w:shd w:fill="EAF1FB"/>
          </w:tcPr>
          <w:p>
            <w:pPr>
              <w:spacing w:before="0" w:after="0" w:line="276" w:lineRule="auto"/>
              <w:jc w:val="left"/>
            </w:pPr>
            <w:r/>
            <w:r>
              <w:rPr>
                <w:rFonts w:ascii="Microsoft YaHei" w:hAnsi="Microsoft YaHei" w:eastAsia="Microsoft YaHei"/>
                <w:b/>
                <w:color w:val="464646"/>
                <w:sz w:val="19"/>
              </w:rPr>
              <w:t>对应阶段</w:t>
            </w:r>
          </w:p>
        </w:tc>
        <w:tc>
          <w:tcPr>
            <w:tcW w:type="dxa" w:w="703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9"/>
              </w:rPr>
              <w:t>Stage-Gated Agile / 详细设计阶段</w:t>
            </w:r>
          </w:p>
        </w:tc>
      </w:tr>
      <w:tr>
        <w:tc>
          <w:tcPr>
            <w:tcW w:type="dxa" w:w="2041"/>
            <w:vAlign w:val="center"/>
            <w:tcMar>
              <w:top w:w="90" w:type="dxa"/>
              <w:left w:w="90" w:type="dxa"/>
              <w:bottom w:w="90" w:type="dxa"/>
              <w:right w:w="90" w:type="dxa"/>
            </w:tcMar>
            <w:shd w:fill="EAF1FB"/>
          </w:tcPr>
          <w:p>
            <w:pPr>
              <w:spacing w:before="0" w:after="0" w:line="276" w:lineRule="auto"/>
              <w:jc w:val="left"/>
            </w:pPr>
            <w:r/>
            <w:r>
              <w:rPr>
                <w:rFonts w:ascii="Microsoft YaHei" w:hAnsi="Microsoft YaHei" w:eastAsia="Microsoft YaHei"/>
                <w:b/>
                <w:color w:val="464646"/>
                <w:sz w:val="19"/>
              </w:rPr>
              <w:t>文档角色</w:t>
            </w:r>
          </w:p>
        </w:tc>
        <w:tc>
          <w:tcPr>
            <w:tcW w:type="dxa" w:w="703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9"/>
              </w:rPr>
              <w:t>承接总体方案、数据库详细设计、接口设计与页面原型，作为模块实现和任务包拆解依据</w:t>
            </w:r>
          </w:p>
        </w:tc>
      </w:tr>
      <w:tr>
        <w:tc>
          <w:tcPr>
            <w:tcW w:type="dxa" w:w="2041"/>
            <w:vAlign w:val="center"/>
            <w:tcMar>
              <w:top w:w="90" w:type="dxa"/>
              <w:left w:w="90" w:type="dxa"/>
              <w:bottom w:w="90" w:type="dxa"/>
              <w:right w:w="90" w:type="dxa"/>
            </w:tcMar>
            <w:shd w:fill="EAF1FB"/>
          </w:tcPr>
          <w:p>
            <w:pPr>
              <w:spacing w:before="0" w:after="0" w:line="276" w:lineRule="auto"/>
              <w:jc w:val="left"/>
            </w:pPr>
            <w:r/>
            <w:r>
              <w:rPr>
                <w:rFonts w:ascii="Microsoft YaHei" w:hAnsi="Microsoft YaHei" w:eastAsia="Microsoft YaHei"/>
                <w:b/>
                <w:color w:val="464646"/>
                <w:sz w:val="19"/>
              </w:rPr>
              <w:t>设计原则</w:t>
            </w:r>
          </w:p>
        </w:tc>
        <w:tc>
          <w:tcPr>
            <w:tcW w:type="dxa" w:w="703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9"/>
              </w:rPr>
              <w:t>范围收敛、模块边界清晰、权限一致生效、可追踪日志、对后续学院/实验室与多源扩展留口</w:t>
            </w:r>
          </w:p>
        </w:tc>
      </w:tr>
    </w:tbl>
    <w:p/>
    <w:p>
      <w:pPr>
        <w:pStyle w:val="Heading1"/>
      </w:pPr>
      <w:r>
        <w:t>1. 文档目的与使用方式</w:t>
      </w:r>
    </w:p>
    <w:p>
      <w:pPr/>
      <w:r>
        <w:t>本文件从“模块怎么开发”的角度，对第一阶段学术人才子系统 MVP 进行进一步细化。相较于方案设计文档，本文件更强调模块职责、关键页面块、后端处理链路、异常/降级、日志与测试关注点。文档不替代接口字段级文档与数据库字段说明，而是用于把需求和方案收敛成开发可执行单元。</w:t>
      </w:r>
    </w:p>
    <w:p>
      <w:pPr>
        <w:pStyle w:val="Heading1"/>
      </w:pPr>
      <w:r>
        <w:t>2. 模块划分与依赖关系</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964"/>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模块代码</w:t>
            </w:r>
          </w:p>
        </w:tc>
        <w:tc>
          <w:tcPr>
            <w:tcW w:type="dxa" w:w="1587"/>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模块名称</w:t>
            </w:r>
          </w:p>
        </w:tc>
        <w:tc>
          <w:tcPr>
            <w:tcW w:type="dxa" w:w="289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主要职责</w:t>
            </w:r>
          </w:p>
        </w:tc>
        <w:tc>
          <w:tcPr>
            <w:tcW w:type="dxa" w:w="238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主要依赖</w:t>
            </w:r>
          </w:p>
        </w:tc>
        <w:tc>
          <w:tcPr>
            <w:tcW w:type="dxa" w:w="1020"/>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建议迭代</w:t>
            </w:r>
          </w:p>
        </w:tc>
      </w:tr>
      <w:tr>
        <w:tc>
          <w:tcPr>
            <w:tcW w:type="dxa" w:w="96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M1</w:t>
            </w:r>
          </w:p>
        </w:tc>
        <w:tc>
          <w:tcPr>
            <w:tcW w:type="dxa" w:w="1587"/>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首页总览</w:t>
            </w:r>
          </w:p>
        </w:tc>
        <w:tc>
          <w:tcPr>
            <w:tcW w:type="dxa" w:w="289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展示权限范围内的高校数、教授数、学生数并提供搜索/浏览入口</w:t>
            </w:r>
          </w:p>
        </w:tc>
        <w:tc>
          <w:tcPr>
            <w:tcW w:type="dxa" w:w="238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统计快照、权限服务</w:t>
            </w:r>
          </w:p>
        </w:tc>
        <w:tc>
          <w:tcPr>
            <w:tcW w:type="dxa" w:w="1020"/>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迭代 2</w:t>
            </w:r>
          </w:p>
        </w:tc>
      </w:tr>
      <w:tr>
        <w:tc>
          <w:tcPr>
            <w:tcW w:type="dxa" w:w="96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M2</w:t>
            </w:r>
          </w:p>
        </w:tc>
        <w:tc>
          <w:tcPr>
            <w:tcW w:type="dxa" w:w="1587"/>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国家-学校目录</w:t>
            </w:r>
          </w:p>
        </w:tc>
        <w:tc>
          <w:tcPr>
            <w:tcW w:type="dxa" w:w="289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按国家组织学校列表并支持进入学校页</w:t>
            </w:r>
          </w:p>
        </w:tc>
        <w:tc>
          <w:tcPr>
            <w:tcW w:type="dxa" w:w="238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学校维表、学校统计、权限服务</w:t>
            </w:r>
          </w:p>
        </w:tc>
        <w:tc>
          <w:tcPr>
            <w:tcW w:type="dxa" w:w="1020"/>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迭代 2</w:t>
            </w:r>
          </w:p>
        </w:tc>
      </w:tr>
      <w:tr>
        <w:tc>
          <w:tcPr>
            <w:tcW w:type="dxa" w:w="96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M3</w:t>
            </w:r>
          </w:p>
        </w:tc>
        <w:tc>
          <w:tcPr>
            <w:tcW w:type="dxa" w:w="1587"/>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学校信息页</w:t>
            </w:r>
          </w:p>
        </w:tc>
        <w:tc>
          <w:tcPr>
            <w:tcW w:type="dxa" w:w="289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展示学校介绍与结构统计，并连接到学校人才列表</w:t>
            </w:r>
          </w:p>
        </w:tc>
        <w:tc>
          <w:tcPr>
            <w:tcW w:type="dxa" w:w="238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学校维表、学校统计、人才列表</w:t>
            </w:r>
          </w:p>
        </w:tc>
        <w:tc>
          <w:tcPr>
            <w:tcW w:type="dxa" w:w="1020"/>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迭代 2</w:t>
            </w:r>
          </w:p>
        </w:tc>
      </w:tr>
      <w:tr>
        <w:tc>
          <w:tcPr>
            <w:tcW w:type="dxa" w:w="96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M4</w:t>
            </w:r>
          </w:p>
        </w:tc>
        <w:tc>
          <w:tcPr>
            <w:tcW w:type="dxa" w:w="1587"/>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人才列表</w:t>
            </w:r>
          </w:p>
        </w:tc>
        <w:tc>
          <w:tcPr>
            <w:tcW w:type="dxa" w:w="289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按学校或搜索上下文返回人才列表并展示角色与标签</w:t>
            </w:r>
          </w:p>
        </w:tc>
        <w:tc>
          <w:tcPr>
            <w:tcW w:type="dxa" w:w="238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人才投影、搜索服务、权限服务</w:t>
            </w:r>
          </w:p>
        </w:tc>
        <w:tc>
          <w:tcPr>
            <w:tcW w:type="dxa" w:w="1020"/>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迭代 2/3</w:t>
            </w:r>
          </w:p>
        </w:tc>
      </w:tr>
      <w:tr>
        <w:tc>
          <w:tcPr>
            <w:tcW w:type="dxa" w:w="96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M5</w:t>
            </w:r>
          </w:p>
        </w:tc>
        <w:tc>
          <w:tcPr>
            <w:tcW w:type="dxa" w:w="1587"/>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人才详情</w:t>
            </w:r>
          </w:p>
        </w:tc>
        <w:tc>
          <w:tcPr>
            <w:tcW w:type="dxa" w:w="289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展示候选人画像、代表成果与跟进判断信息</w:t>
            </w:r>
          </w:p>
        </w:tc>
        <w:tc>
          <w:tcPr>
            <w:tcW w:type="dxa" w:w="238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Talent 主表、Role Profile、成果聚合</w:t>
            </w:r>
          </w:p>
        </w:tc>
        <w:tc>
          <w:tcPr>
            <w:tcW w:type="dxa" w:w="1020"/>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迭代 3</w:t>
            </w:r>
          </w:p>
        </w:tc>
      </w:tr>
      <w:tr>
        <w:tc>
          <w:tcPr>
            <w:tcW w:type="dxa" w:w="96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M6</w:t>
            </w:r>
          </w:p>
        </w:tc>
        <w:tc>
          <w:tcPr>
            <w:tcW w:type="dxa" w:w="1587"/>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关键字搜索</w:t>
            </w:r>
          </w:p>
        </w:tc>
        <w:tc>
          <w:tcPr>
            <w:tcW w:type="dxa" w:w="289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支持姓名/学校/方向等入口统一检索</w:t>
            </w:r>
          </w:p>
        </w:tc>
        <w:tc>
          <w:tcPr>
            <w:tcW w:type="dxa" w:w="238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搜索索引、权限服务</w:t>
            </w:r>
          </w:p>
        </w:tc>
        <w:tc>
          <w:tcPr>
            <w:tcW w:type="dxa" w:w="1020"/>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迭代 3</w:t>
            </w:r>
          </w:p>
        </w:tc>
      </w:tr>
      <w:tr>
        <w:tc>
          <w:tcPr>
            <w:tcW w:type="dxa" w:w="96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M7</w:t>
            </w:r>
          </w:p>
        </w:tc>
        <w:tc>
          <w:tcPr>
            <w:tcW w:type="dxa" w:w="1587"/>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权限管理</w:t>
            </w:r>
          </w:p>
        </w:tc>
        <w:tc>
          <w:tcPr>
            <w:tcW w:type="dxa" w:w="289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管理员维护用户可查看学校范围</w:t>
            </w:r>
          </w:p>
        </w:tc>
        <w:tc>
          <w:tcPr>
            <w:tcW w:type="dxa" w:w="2381"/>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用户表、用户学校范围、审计日志</w:t>
            </w:r>
          </w:p>
        </w:tc>
        <w:tc>
          <w:tcPr>
            <w:tcW w:type="dxa" w:w="1020"/>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迭代 3</w:t>
            </w:r>
          </w:p>
        </w:tc>
      </w:tr>
      <w:tr>
        <w:tc>
          <w:tcPr>
            <w:tcW w:type="dxa" w:w="96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M8</w:t>
            </w:r>
          </w:p>
        </w:tc>
        <w:tc>
          <w:tcPr>
            <w:tcW w:type="dxa" w:w="1587"/>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同步与构建</w:t>
            </w:r>
          </w:p>
        </w:tc>
        <w:tc>
          <w:tcPr>
            <w:tcW w:type="dxa" w:w="289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接入 OpenAlex、构建领域对象和统计快照</w:t>
            </w:r>
          </w:p>
        </w:tc>
        <w:tc>
          <w:tcPr>
            <w:tcW w:type="dxa" w:w="2381"/>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原始留存、批次表、对象构建任务</w:t>
            </w:r>
          </w:p>
        </w:tc>
        <w:tc>
          <w:tcPr>
            <w:tcW w:type="dxa" w:w="1020"/>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迭代 1</w:t>
            </w:r>
          </w:p>
        </w:tc>
      </w:tr>
    </w:tbl>
    <w:p/>
    <w:p>
      <w:pPr>
        <w:pStyle w:val="Heading2"/>
      </w:pPr>
      <w:r>
        <w:t>设计上的统一约束</w:t>
      </w:r>
    </w:p>
    <w:p>
      <w:pPr>
        <w:pStyle w:val="BodyBullet"/>
      </w:pPr>
      <w:r>
        <w:rPr>
          <w:b/>
        </w:rPr>
        <w:t xml:space="preserve">• </w:t>
      </w:r>
      <w:r>
        <w:t>权限在服务端统一生效，前端隐藏入口不替代真正的访问控制；总览、目录、搜索、详情均必须走同一套学校范围校验。</w:t>
      </w:r>
    </w:p>
    <w:p>
      <w:pPr>
        <w:pStyle w:val="BodyBullet"/>
      </w:pPr>
      <w:r>
        <w:rPr>
          <w:b/>
        </w:rPr>
        <w:t xml:space="preserve">• </w:t>
      </w:r>
      <w:r>
        <w:t>统计口径以“当前生效版本 + 去重后可展示对象”为准；用户看到的数字是“权限过滤后”的数字，不是全库数字。</w:t>
      </w:r>
    </w:p>
    <w:p>
      <w:pPr>
        <w:pStyle w:val="BodyBullet"/>
      </w:pPr>
      <w:r>
        <w:rPr>
          <w:b/>
        </w:rPr>
        <w:t xml:space="preserve">• </w:t>
      </w:r>
      <w:r>
        <w:t>学院/实验室字段在第一阶段主要作为数据预留和 UI 扩展位，不作为主导航和强依赖筛选条件。</w:t>
      </w:r>
    </w:p>
    <w:p>
      <w:pPr>
        <w:pStyle w:val="BodyBullet"/>
      </w:pPr>
      <w:r>
        <w:rPr>
          <w:b/>
        </w:rPr>
        <w:t xml:space="preserve">• </w:t>
      </w:r>
      <w:r>
        <w:t>对外部数据源不确定的字段必须允许“待确认/信息待补充”状态，避免错误展示造成业务误判。</w:t>
      </w:r>
    </w:p>
    <w:p>
      <w:pPr>
        <w:pStyle w:val="Heading1"/>
      </w:pPr>
      <w:r>
        <w:t>3. M8 数据同步与对象构建模块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负责从 OpenAlex 拉取源数据、原始留存、构建学校与人才领域对象，并生成供前台读取的统计快照和搜索投影，是整个 MVP 的底座模块。</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定时任务调度、手工触发同步、批次重跑入口</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原始批次记录、学校对象、人才对象、角色投影、学校统计、搜索投影、当前生效版本</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source_sync_batch / source_raw_record / school / talent / talent_role_profile / school_stat_snapshot / talent_search_projection / version pointer</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同步任务管理</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展示最近批次状态、开始时间、耗时、失败原因</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允许手工重跑/查看日志</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批次表、任务执行器</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对象构建任务</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按批次生成 school/talent/stat/search projection</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显示构建进度与结果摘要</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构建服务、版本切换服务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数据质量清单</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列出待确认学校/角色/重复对象</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支持导出或人工标记</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异常对象队列/审计</w:t>
            </w:r>
          </w:p>
        </w:tc>
      </w:tr>
    </w:tbl>
    <w:p/>
    <w:p>
      <w:pPr>
        <w:pStyle w:val="Heading2"/>
      </w:pPr>
      <w:r>
        <w:t>核心处理规则</w:t>
      </w:r>
    </w:p>
    <w:p>
      <w:pPr>
        <w:pStyle w:val="BodyBullet"/>
      </w:pPr>
      <w:r>
        <w:rPr>
          <w:b/>
        </w:rPr>
        <w:t xml:space="preserve">• </w:t>
      </w:r>
      <w:r>
        <w:t>同步任务与对象构建任务分离：同步阶段只负责采集和留存，不直接改写前台生效对象；构建阶段负责生成可展示对象。</w:t>
      </w:r>
    </w:p>
    <w:p>
      <w:pPr>
        <w:pStyle w:val="BodyBullet"/>
      </w:pPr>
      <w:r>
        <w:rPr>
          <w:b/>
        </w:rPr>
        <w:t xml:space="preserve">• </w:t>
      </w:r>
      <w:r>
        <w:t>对象构建以批次版本为单位运行，所有下游对象在同一版本内完成后，才切换 current_active_version，防止前台读取到半成品。</w:t>
      </w:r>
    </w:p>
    <w:p>
      <w:pPr>
        <w:pStyle w:val="BodyBullet"/>
      </w:pPr>
      <w:r>
        <w:rPr>
          <w:b/>
        </w:rPr>
        <w:t xml:space="preserve">• </w:t>
      </w:r>
      <w:r>
        <w:t>学校归一化与别名合并在构建阶段执行；无法可靠归一时进入待确认队列，不直接进入前台主对象。</w:t>
      </w:r>
    </w:p>
    <w:p>
      <w:pPr>
        <w:pStyle w:val="BodyBullet"/>
      </w:pPr>
      <w:r>
        <w:rPr>
          <w:b/>
        </w:rPr>
        <w:t xml:space="preserve">• </w:t>
      </w:r>
      <w:r>
        <w:t>角色识别遵循“能确认则确认，不能确认则待确认”的原则；不允许因为推断不足而硬标为教授或学生。</w:t>
      </w:r>
    </w:p>
    <w:p>
      <w:pPr>
        <w:pStyle w:val="BodyBullet"/>
      </w:pPr>
      <w:r>
        <w:rPr>
          <w:b/>
        </w:rPr>
        <w:t xml:space="preserve">• </w:t>
      </w:r>
      <w:r>
        <w:t>统计快照在对象构建完成后统一生成，学校数、教授数、学生数要与人才列表/学校页可展示数据保持一致。</w:t>
      </w:r>
    </w:p>
    <w:p>
      <w:pPr>
        <w:pStyle w:val="BodyBullet"/>
      </w:pPr>
      <w:r>
        <w:rPr>
          <w:b/>
        </w:rPr>
        <w:t xml:space="preserve">• </w:t>
      </w:r>
      <w:r>
        <w:t>重跑时保留历史批次，不覆盖既有可用批次；前台始终读取最后一个成功生效版本。</w:t>
      </w:r>
    </w:p>
    <w:p>
      <w:pPr>
        <w:pStyle w:val="Heading2"/>
      </w:pPr>
      <w:r>
        <w:t>异常与降级策略</w:t>
      </w:r>
    </w:p>
    <w:p>
      <w:pPr>
        <w:pStyle w:val="BodyBullet"/>
      </w:pPr>
      <w:r>
        <w:rPr>
          <w:b/>
        </w:rPr>
        <w:t xml:space="preserve">• </w:t>
      </w:r>
      <w:r>
        <w:t>OpenAlex 接口超时或返回异常时，本批次标记失败并保留错误原因；不得把失败批次切为生效版本。</w:t>
      </w:r>
    </w:p>
    <w:p>
      <w:pPr>
        <w:pStyle w:val="BodyBullet"/>
      </w:pPr>
      <w:r>
        <w:rPr>
          <w:b/>
        </w:rPr>
        <w:t xml:space="preserve">• </w:t>
      </w:r>
      <w:r>
        <w:t>若部分对象构建失败，允许回滚当前构建结果并保持上一版继续服务，前台显示“数据最近更新时间”帮助识别版本。</w:t>
      </w:r>
    </w:p>
    <w:p>
      <w:pPr>
        <w:pStyle w:val="BodyBullet"/>
      </w:pPr>
      <w:r>
        <w:rPr>
          <w:b/>
        </w:rPr>
        <w:t xml:space="preserve">• </w:t>
      </w:r>
      <w:r>
        <w:t>学校别名冲突、人才重复归并冲突等数据质量问题需记录到人工校验清单，不在构建时静默吞掉。</w:t>
      </w:r>
    </w:p>
    <w:p>
      <w:pPr>
        <w:pStyle w:val="Heading2"/>
      </w:pPr>
      <w:r>
        <w:t>日志与监控要求</w:t>
      </w:r>
    </w:p>
    <w:p>
      <w:pPr>
        <w:pStyle w:val="BodyBullet"/>
      </w:pPr>
      <w:r>
        <w:rPr>
          <w:b/>
        </w:rPr>
        <w:t xml:space="preserve">• </w:t>
      </w:r>
      <w:r>
        <w:t>记录批次号、任务类型、开始/结束时间、成功/失败对象数、来源分页信息、版本号切换人/来源。</w:t>
      </w:r>
    </w:p>
    <w:p>
      <w:pPr>
        <w:pStyle w:val="BodyBullet"/>
      </w:pPr>
      <w:r>
        <w:rPr>
          <w:b/>
        </w:rPr>
        <w:t xml:space="preserve">• </w:t>
      </w:r>
      <w:r>
        <w:t>对超时、接口限频、重试次数、异常率设置监控阈值；连续失败达到阈值时触发告警。</w:t>
      </w:r>
    </w:p>
    <w:p>
      <w:pPr>
        <w:pStyle w:val="BodyBullet"/>
      </w:pPr>
      <w:r>
        <w:rPr>
          <w:b/>
        </w:rPr>
        <w:t xml:space="preserve">• </w:t>
      </w:r>
      <w:r>
        <w:t>为对象构建和统计快照分别记录耗时，以定位慢在采集、归一化还是统计聚合。</w:t>
      </w:r>
    </w:p>
    <w:p>
      <w:pPr>
        <w:pStyle w:val="Heading2"/>
      </w:pPr>
      <w:r>
        <w:t>测试关注点</w:t>
      </w:r>
    </w:p>
    <w:p>
      <w:pPr>
        <w:pStyle w:val="BodyBullet"/>
      </w:pPr>
      <w:r>
        <w:rPr>
          <w:b/>
        </w:rPr>
        <w:t xml:space="preserve">• </w:t>
      </w:r>
      <w:r>
        <w:t>成功跑通一次全链路后，前台能读取到完整学校、人才、统计与搜索投影。</w:t>
      </w:r>
    </w:p>
    <w:p>
      <w:pPr>
        <w:pStyle w:val="BodyBullet"/>
      </w:pPr>
      <w:r>
        <w:rPr>
          <w:b/>
        </w:rPr>
        <w:t xml:space="preserve">• </w:t>
      </w:r>
      <w:r>
        <w:t>模拟同步失败时，当前线上可用版本不受影响；重跑成功后版本可切换。</w:t>
      </w:r>
    </w:p>
    <w:p>
      <w:pPr>
        <w:pStyle w:val="BodyBullet"/>
      </w:pPr>
      <w:r>
        <w:rPr>
          <w:b/>
        </w:rPr>
        <w:t xml:space="preserve">• </w:t>
      </w:r>
      <w:r>
        <w:t>同一学校多个别名输入时，能聚合为同一 school 对象并且统计不重复。</w:t>
      </w:r>
    </w:p>
    <w:p>
      <w:pPr>
        <w:pStyle w:val="Heading1"/>
      </w:pPr>
      <w:r>
        <w:t>4. M1 首页总览模块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向用户展示“库里有什么”，包括授权范围内已收录高校数、教授类人才数、学生类人才数，并提供搜索和按学校浏览的第一入口。</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登录成功后的默认首页</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总览卡片、搜索框、国家/学校浏览入口、最近更新时间信息</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school_stat_snapshot / user_school_scope / search entry service</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总览卡片区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展示高校数、教授数、学生数、更新时间</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进入系统后的第一视觉锚点</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统计聚合服务</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全局搜索框</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支持姓名/学校/技术方向关键字</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按 Enter 或点击触发搜索</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搜索服务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学校浏览入口</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引导进入国家-学校目录页</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点击跳转</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目录接口</w:t>
            </w:r>
          </w:p>
        </w:tc>
      </w:tr>
    </w:tbl>
    <w:p/>
    <w:p>
      <w:pPr>
        <w:pStyle w:val="Heading2"/>
      </w:pPr>
      <w:r>
        <w:t>核心处理规则</w:t>
      </w:r>
    </w:p>
    <w:p>
      <w:pPr>
        <w:pStyle w:val="BodyBullet"/>
      </w:pPr>
      <w:r>
        <w:rPr>
          <w:b/>
        </w:rPr>
        <w:t xml:space="preserve">• </w:t>
      </w:r>
      <w:r>
        <w:t>首页读取“当前生效版本”的统计快照后，再按当前用户授权学校范围二次过滤与聚合，不允许直接返回全库统计。</w:t>
      </w:r>
    </w:p>
    <w:p>
      <w:pPr>
        <w:pStyle w:val="BodyBullet"/>
      </w:pPr>
      <w:r>
        <w:rPr>
          <w:b/>
        </w:rPr>
        <w:t xml:space="preserve">• </w:t>
      </w:r>
      <w:r>
        <w:t>教授数与学生数口径应与学校页和人才列表口径一致；待确认角色不并入教授/学生指标，可另计未识别数但一期不必首页展示。</w:t>
      </w:r>
    </w:p>
    <w:p>
      <w:pPr>
        <w:pStyle w:val="BodyBullet"/>
      </w:pPr>
      <w:r>
        <w:rPr>
          <w:b/>
        </w:rPr>
        <w:t xml:space="preserve">• </w:t>
      </w:r>
      <w:r>
        <w:t>首页提供搜索输入框和“按国家查看学校”入口，确保用户既能直接搜，也能按学校浏览。</w:t>
      </w:r>
    </w:p>
    <w:p>
      <w:pPr>
        <w:pStyle w:val="BodyBullet"/>
      </w:pPr>
      <w:r>
        <w:rPr>
          <w:b/>
        </w:rPr>
        <w:t xml:space="preserve">• </w:t>
      </w:r>
      <w:r>
        <w:t>首页应展示数据最近更新时间，用于解释统计数并提升用户对数据新鲜度的判断。</w:t>
      </w:r>
    </w:p>
    <w:p>
      <w:pPr>
        <w:pStyle w:val="Heading2"/>
      </w:pPr>
      <w:r>
        <w:t>异常与降级策略</w:t>
      </w:r>
    </w:p>
    <w:p>
      <w:pPr>
        <w:pStyle w:val="BodyBullet"/>
      </w:pPr>
      <w:r>
        <w:rPr>
          <w:b/>
        </w:rPr>
        <w:t xml:space="preserve">• </w:t>
      </w:r>
      <w:r>
        <w:t>若统计快照尚未就绪，首页卡片展示“数据准备中”，但搜索框和目录入口仍可使用。</w:t>
      </w:r>
    </w:p>
    <w:p>
      <w:pPr>
        <w:pStyle w:val="BodyBullet"/>
      </w:pPr>
      <w:r>
        <w:rPr>
          <w:b/>
        </w:rPr>
        <w:t xml:space="preserve">• </w:t>
      </w:r>
      <w:r>
        <w:t>若用户没有任何学校权限，首页不显示全库数字，而显示“当前未配置可查看院校范围”的无权限态。</w:t>
      </w:r>
    </w:p>
    <w:p>
      <w:pPr>
        <w:pStyle w:val="BodyBullet"/>
      </w:pPr>
      <w:r>
        <w:rPr>
          <w:b/>
        </w:rPr>
        <w:t xml:space="preserve">• </w:t>
      </w:r>
      <w:r>
        <w:t>若统计聚合失败，记录错误并返回可识别的页面状态，避免前端空白。</w:t>
      </w:r>
    </w:p>
    <w:p>
      <w:pPr>
        <w:pStyle w:val="Heading2"/>
      </w:pPr>
      <w:r>
        <w:t>日志与监控要求</w:t>
      </w:r>
    </w:p>
    <w:p>
      <w:pPr>
        <w:pStyle w:val="BodyBullet"/>
      </w:pPr>
      <w:r>
        <w:rPr>
          <w:b/>
        </w:rPr>
        <w:t xml:space="preserve">• </w:t>
      </w:r>
      <w:r>
        <w:t>记录首页加载耗时、命中统计版本号、参与聚合的学校数量、用户 ID 和是否命中缓存。</w:t>
      </w:r>
    </w:p>
    <w:p>
      <w:pPr>
        <w:pStyle w:val="BodyBullet"/>
      </w:pPr>
      <w:r>
        <w:rPr>
          <w:b/>
        </w:rPr>
        <w:t xml:space="preserve">• </w:t>
      </w:r>
      <w:r>
        <w:t>对统计版本缺失、权限为空、聚合超时分别打不同级别日志，便于快速区分数据问题与权限问题。</w:t>
      </w:r>
    </w:p>
    <w:p>
      <w:pPr>
        <w:pStyle w:val="Heading2"/>
      </w:pPr>
      <w:r>
        <w:t>测试关注点</w:t>
      </w:r>
    </w:p>
    <w:p>
      <w:pPr>
        <w:pStyle w:val="BodyBullet"/>
      </w:pPr>
      <w:r>
        <w:rPr>
          <w:b/>
        </w:rPr>
        <w:t xml:space="preserve">• </w:t>
      </w:r>
      <w:r>
        <w:t>授权用户看到的高校数、教授数、学生数与其学校范围对应；不同用户数字不同但口径一致。</w:t>
      </w:r>
    </w:p>
    <w:p>
      <w:pPr>
        <w:pStyle w:val="BodyBullet"/>
      </w:pPr>
      <w:r>
        <w:rPr>
          <w:b/>
        </w:rPr>
        <w:t xml:space="preserve">• </w:t>
      </w:r>
      <w:r>
        <w:t>无权限用户进入首页时能稳定看到明确提示，而不是空白页或 0 值误导。</w:t>
      </w:r>
    </w:p>
    <w:p>
      <w:pPr>
        <w:pStyle w:val="BodyBullet"/>
      </w:pPr>
      <w:r>
        <w:rPr>
          <w:b/>
        </w:rPr>
        <w:t xml:space="preserve">• </w:t>
      </w:r>
      <w:r>
        <w:t>统计快照更新时间能随版本切换刷新。</w:t>
      </w:r>
    </w:p>
    <w:p>
      <w:pPr>
        <w:pStyle w:val="Heading1"/>
      </w:pPr>
      <w:r>
        <w:t>5. M2 国家-学校目录模块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按国家组织学校清单，支持在授权范围内浏览学校并进入学校信息页，是从“目标院校”出发找人的主要入口。</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首页浏览入口、搜索结果中的学校跳转入口</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国家列表、学校卡片/行列表、学校人数摘要、进入学校页动作</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country dimension / school / school_stat_snapshot / user_school_scope</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国家分组导航</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按授权学校涉及的国家展示导航</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切换国家后刷新学校列表</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目录聚合服务</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学校卡片/列表</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展示学校名称、简介摘要、教授数、学生数</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点击进入学校页</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school + stat 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列表过滤条</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支持学校名称关键字筛选</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输入后本页过滤</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目录查询接口</w:t>
            </w:r>
          </w:p>
        </w:tc>
      </w:tr>
    </w:tbl>
    <w:p/>
    <w:p>
      <w:pPr>
        <w:pStyle w:val="Heading2"/>
      </w:pPr>
      <w:r>
        <w:t>核心处理规则</w:t>
      </w:r>
    </w:p>
    <w:p>
      <w:pPr>
        <w:pStyle w:val="BodyBullet"/>
      </w:pPr>
      <w:r>
        <w:rPr>
          <w:b/>
        </w:rPr>
        <w:t xml:space="preserve">• </w:t>
      </w:r>
      <w:r>
        <w:t>国家列表只返回当前用户有可查看学校的国家，避免展示无权限空国家。</w:t>
      </w:r>
    </w:p>
    <w:p>
      <w:pPr>
        <w:pStyle w:val="BodyBullet"/>
      </w:pPr>
      <w:r>
        <w:rPr>
          <w:b/>
        </w:rPr>
        <w:t xml:space="preserve">• </w:t>
      </w:r>
      <w:r>
        <w:t>学校列表第一阶段以“国家 -&gt; 学校”两级组织为主，不要求学院/实验室进一步细分浏览，但接口参数需预留扩展位。</w:t>
      </w:r>
    </w:p>
    <w:p>
      <w:pPr>
        <w:pStyle w:val="BodyBullet"/>
      </w:pPr>
      <w:r>
        <w:rPr>
          <w:b/>
        </w:rPr>
        <w:t xml:space="preserve">• </w:t>
      </w:r>
      <w:r>
        <w:t>每所学校展示名称、国家/地区、学校简介摘要、教授人数、学生人数和进入学校页入口。</w:t>
      </w:r>
    </w:p>
    <w:p>
      <w:pPr>
        <w:pStyle w:val="BodyBullet"/>
      </w:pPr>
      <w:r>
        <w:rPr>
          <w:b/>
        </w:rPr>
        <w:t xml:space="preserve">• </w:t>
      </w:r>
      <w:r>
        <w:t>学校名称可支持关键字过滤，但过滤后结果仍必须在权限过滤后的学校集合中计算。</w:t>
      </w:r>
    </w:p>
    <w:p>
      <w:pPr>
        <w:pStyle w:val="Heading2"/>
      </w:pPr>
      <w:r>
        <w:t>异常与降级策略</w:t>
      </w:r>
    </w:p>
    <w:p>
      <w:pPr>
        <w:pStyle w:val="BodyBullet"/>
      </w:pPr>
      <w:r>
        <w:rPr>
          <w:b/>
        </w:rPr>
        <w:t xml:space="preserve">• </w:t>
      </w:r>
      <w:r>
        <w:t>学校介绍缺失时允许展示“信息待补充”；人数缺失时显示“-”并记录数据质量日志，不随意返回 0。</w:t>
      </w:r>
    </w:p>
    <w:p>
      <w:pPr>
        <w:pStyle w:val="BodyBullet"/>
      </w:pPr>
      <w:r>
        <w:rPr>
          <w:b/>
        </w:rPr>
        <w:t xml:space="preserve">• </w:t>
      </w:r>
      <w:r>
        <w:t>国家下学校为空时，前端展示无结果态，不自动回退全库查询。</w:t>
      </w:r>
    </w:p>
    <w:p>
      <w:pPr>
        <w:pStyle w:val="BodyBullet"/>
      </w:pPr>
      <w:r>
        <w:rPr>
          <w:b/>
        </w:rPr>
        <w:t xml:space="preserve">• </w:t>
      </w:r>
      <w:r>
        <w:t>若学校对象不存在但权限配置中仍有残留学校 ID，应在后端过滤并记录配置异常。</w:t>
      </w:r>
    </w:p>
    <w:p>
      <w:pPr>
        <w:pStyle w:val="Heading2"/>
      </w:pPr>
      <w:r>
        <w:t>日志与监控要求</w:t>
      </w:r>
    </w:p>
    <w:p>
      <w:pPr>
        <w:pStyle w:val="BodyBullet"/>
      </w:pPr>
      <w:r>
        <w:rPr>
          <w:b/>
        </w:rPr>
        <w:t xml:space="preserve">• </w:t>
      </w:r>
      <w:r>
        <w:t>记录国家列表数量、学校列表数量、学校过滤关键字、权限过滤前后数量差异。</w:t>
      </w:r>
    </w:p>
    <w:p>
      <w:pPr>
        <w:pStyle w:val="BodyBullet"/>
      </w:pPr>
      <w:r>
        <w:rPr>
          <w:b/>
        </w:rPr>
        <w:t xml:space="preserve">• </w:t>
      </w:r>
      <w:r>
        <w:t>对“学校基础信息缺失率”做每日统计，为后续补数提供依据。</w:t>
      </w:r>
    </w:p>
    <w:p>
      <w:pPr>
        <w:pStyle w:val="Heading2"/>
      </w:pPr>
      <w:r>
        <w:t>测试关注点</w:t>
      </w:r>
    </w:p>
    <w:p>
      <w:pPr>
        <w:pStyle w:val="BodyBullet"/>
      </w:pPr>
      <w:r>
        <w:rPr>
          <w:b/>
        </w:rPr>
        <w:t xml:space="preserve">• </w:t>
      </w:r>
      <w:r>
        <w:t>用户可按国家进入学校目录，并只看到其授权学校。</w:t>
      </w:r>
    </w:p>
    <w:p>
      <w:pPr>
        <w:pStyle w:val="BodyBullet"/>
      </w:pPr>
      <w:r>
        <w:rPr>
          <w:b/>
        </w:rPr>
        <w:t xml:space="preserve">• </w:t>
      </w:r>
      <w:r>
        <w:t>学校人数摘要与学校页、人才列表统计保持一致。</w:t>
      </w:r>
    </w:p>
    <w:p>
      <w:pPr>
        <w:pStyle w:val="BodyBullet"/>
      </w:pPr>
      <w:r>
        <w:rPr>
          <w:b/>
        </w:rPr>
        <w:t xml:space="preserve">• </w:t>
      </w:r>
      <w:r>
        <w:t>关键字过滤时不出现未授权学校，也不因为无权限导致结果总数异常。</w:t>
      </w:r>
    </w:p>
    <w:p>
      <w:pPr>
        <w:pStyle w:val="Heading1"/>
      </w:pPr>
      <w:r>
        <w:t>6. M3 学校信息页模块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向用户提供学校的背景与人才结构上下文，帮助判断该校是否值得继续深入检索，并衔接学校下的人才列表。</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国家-学校目录点击学校；搜索结果中的学校上下文入口</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学校介绍、国家/地区、教授数、学生数、进入学校人才列表入口</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school / school_stat_snapshot / school description projection / permission check</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学校概览区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学校名称、国家、简介摘要、更新时间</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作为页面头部信息块</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school projection 服务</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学校统计卡片</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教授数、学生数</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快速建立人才结构认知</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school stat 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进入人才列表按钮</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跳转到该校人才列表</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保持 school 上下文</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人才列表接口</w:t>
            </w:r>
          </w:p>
        </w:tc>
      </w:tr>
    </w:tbl>
    <w:p/>
    <w:p>
      <w:pPr>
        <w:pStyle w:val="Heading2"/>
      </w:pPr>
      <w:r>
        <w:t>核心处理规则</w:t>
      </w:r>
    </w:p>
    <w:p>
      <w:pPr>
        <w:pStyle w:val="BodyBullet"/>
      </w:pPr>
      <w:r>
        <w:rPr>
          <w:b/>
        </w:rPr>
        <w:t xml:space="preserve">• </w:t>
      </w:r>
      <w:r>
        <w:t>学校信息页第一阶段至少包含一个“学校信息”视图块，展示学校介绍、所在国家、教授人数、学生人数。</w:t>
      </w:r>
    </w:p>
    <w:p>
      <w:pPr>
        <w:pStyle w:val="BodyBullet"/>
      </w:pPr>
      <w:r>
        <w:rPr>
          <w:b/>
        </w:rPr>
        <w:t xml:space="preserve">• </w:t>
      </w:r>
      <w:r>
        <w:t>学校页所展示的教授数与学生数应基于当前生效版本和学校范围权限口径；若用户无该学校权限则整体拒绝访问。</w:t>
      </w:r>
    </w:p>
    <w:p>
      <w:pPr>
        <w:pStyle w:val="BodyBullet"/>
      </w:pPr>
      <w:r>
        <w:rPr>
          <w:b/>
        </w:rPr>
        <w:t xml:space="preserve">• </w:t>
      </w:r>
      <w:r>
        <w:t>学校页应提供进入该校人才列表的明确入口，并将 school_id 作为列表查询上下文传递。</w:t>
      </w:r>
    </w:p>
    <w:p>
      <w:pPr>
        <w:pStyle w:val="BodyBullet"/>
      </w:pPr>
      <w:r>
        <w:rPr>
          <w:b/>
        </w:rPr>
        <w:t xml:space="preserve">• </w:t>
      </w:r>
      <w:r>
        <w:t>页面结构上预留未来 Tab 扩展位，用于后续接入学院、实验室、合作网络或学校画像等模块，但一期不展开。</w:t>
      </w:r>
    </w:p>
    <w:p>
      <w:pPr>
        <w:pStyle w:val="Heading2"/>
      </w:pPr>
      <w:r>
        <w:t>异常与降级策略</w:t>
      </w:r>
    </w:p>
    <w:p>
      <w:pPr>
        <w:pStyle w:val="BodyBullet"/>
      </w:pPr>
      <w:r>
        <w:rPr>
          <w:b/>
        </w:rPr>
        <w:t xml:space="preserve">• </w:t>
      </w:r>
      <w:r>
        <w:t>学校介绍缺失时返回占位文案“学校信息待补充”，但仍可查看人数统计与人才列表入口。</w:t>
      </w:r>
    </w:p>
    <w:p>
      <w:pPr>
        <w:pStyle w:val="BodyBullet"/>
      </w:pPr>
      <w:r>
        <w:rPr>
          <w:b/>
        </w:rPr>
        <w:t xml:space="preserve">• </w:t>
      </w:r>
      <w:r>
        <w:t>学校统计缺失时应显示“数据准备中”，并允许用户继续进入学校人才列表，以减少单点阻塞。</w:t>
      </w:r>
    </w:p>
    <w:p>
      <w:pPr>
        <w:pStyle w:val="BodyBullet"/>
      </w:pPr>
      <w:r>
        <w:rPr>
          <w:b/>
        </w:rPr>
        <w:t xml:space="preserve">• </w:t>
      </w:r>
      <w:r>
        <w:t>school_id 非法或无权限时返回 404/403 风格结果，而不是跳到其他学校。</w:t>
      </w:r>
    </w:p>
    <w:p>
      <w:pPr>
        <w:pStyle w:val="Heading2"/>
      </w:pPr>
      <w:r>
        <w:t>日志与监控要求</w:t>
      </w:r>
    </w:p>
    <w:p>
      <w:pPr>
        <w:pStyle w:val="BodyBullet"/>
      </w:pPr>
      <w:r>
        <w:rPr>
          <w:b/>
        </w:rPr>
        <w:t xml:space="preserve">• </w:t>
      </w:r>
      <w:r>
        <w:t>记录学校页访问量、school_id、从哪个入口进入、是否命中缓存、统计版本号。</w:t>
      </w:r>
    </w:p>
    <w:p>
      <w:pPr>
        <w:pStyle w:val="BodyBullet"/>
      </w:pPr>
      <w:r>
        <w:rPr>
          <w:b/>
        </w:rPr>
        <w:t xml:space="preserve">• </w:t>
      </w:r>
      <w:r>
        <w:t>对于学校描述缺失和统计缺失分别打标，供后续数据治理使用。</w:t>
      </w:r>
    </w:p>
    <w:p>
      <w:pPr>
        <w:pStyle w:val="Heading2"/>
      </w:pPr>
      <w:r>
        <w:t>测试关注点</w:t>
      </w:r>
    </w:p>
    <w:p>
      <w:pPr>
        <w:pStyle w:val="BodyBullet"/>
      </w:pPr>
      <w:r>
        <w:rPr>
          <w:b/>
        </w:rPr>
        <w:t xml:space="preserve">• </w:t>
      </w:r>
      <w:r>
        <w:t>学校页能稳定展示学校介绍和人数信息，并支持进入人才列表。</w:t>
      </w:r>
    </w:p>
    <w:p>
      <w:pPr>
        <w:pStyle w:val="BodyBullet"/>
      </w:pPr>
      <w:r>
        <w:rPr>
          <w:b/>
        </w:rPr>
        <w:t xml:space="preserve">• </w:t>
      </w:r>
      <w:r>
        <w:t>无权限情况下不能通过直接拼接 URL 查看学校页。</w:t>
      </w:r>
    </w:p>
    <w:p>
      <w:pPr>
        <w:pStyle w:val="BodyBullet"/>
      </w:pPr>
      <w:r>
        <w:rPr>
          <w:b/>
        </w:rPr>
        <w:t xml:space="preserve">• </w:t>
      </w:r>
      <w:r>
        <w:t>学校页和学校目录、首页总览中的数字口径一致。</w:t>
      </w:r>
    </w:p>
    <w:p>
      <w:pPr>
        <w:pStyle w:val="Heading1"/>
      </w:pPr>
      <w:r>
        <w:t>7. M4 人才列表模块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以统一列表承载学校上下文和搜索上下文的结果展示，是招聘用户实际筛人、看人、进详情的主工作台。</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学校页进入、搜索结果页进入、后续收藏池入口</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分页列表、人才卡片/行、角色标签、技术方向标签、详情入口</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talent_search_projection / role profile / school context / permission filter / sort service</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列表头部条件区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显示当前学校/搜索条件、结果总数、排序方式</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帮助用户理解上下文</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查询服务</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人才结果列表</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多行或卡片式结果，突出姓名与当前角色</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点击进入详情</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人才投影服务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分页组件</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上一页/下一页/页码跳转</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稳定切页</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分页查询接口</w:t>
            </w:r>
          </w:p>
        </w:tc>
      </w:tr>
    </w:tbl>
    <w:p/>
    <w:p>
      <w:pPr>
        <w:pStyle w:val="Heading2"/>
      </w:pPr>
      <w:r>
        <w:t>核心处理规则</w:t>
      </w:r>
    </w:p>
    <w:p>
      <w:pPr>
        <w:pStyle w:val="BodyBullet"/>
      </w:pPr>
      <w:r>
        <w:rPr>
          <w:b/>
        </w:rPr>
        <w:t xml:space="preserve">• </w:t>
      </w:r>
      <w:r>
        <w:t>列表必须统一走一个查询服务，避免学校列表与搜索列表各写一套查询逻辑而导致口径不一致。</w:t>
      </w:r>
    </w:p>
    <w:p>
      <w:pPr>
        <w:pStyle w:val="BodyBullet"/>
      </w:pPr>
      <w:r>
        <w:rPr>
          <w:b/>
        </w:rPr>
        <w:t xml:space="preserve">• </w:t>
      </w:r>
      <w:r>
        <w:t>列表最小展示字段建议固定为：姓名、当前角色、当前学校、技术方向标签、代表成果摘要、最近活跃提示。</w:t>
      </w:r>
    </w:p>
    <w:p>
      <w:pPr>
        <w:pStyle w:val="BodyBullet"/>
      </w:pPr>
      <w:r>
        <w:rPr>
          <w:b/>
        </w:rPr>
        <w:t xml:space="preserve">• </w:t>
      </w:r>
      <w:r>
        <w:t>当前角色第一阶段统一使用：教授/教师科研人员、在读学生、已毕业学生、待确认；允许后续细分博士后等角色。</w:t>
      </w:r>
    </w:p>
    <w:p>
      <w:pPr>
        <w:pStyle w:val="BodyBullet"/>
      </w:pPr>
      <w:r>
        <w:rPr>
          <w:b/>
        </w:rPr>
        <w:t xml:space="preserve">• </w:t>
      </w:r>
      <w:r>
        <w:t>学校上下文列表默认按综合排序 + 最近活跃度辅助；搜索上下文列表在命中度基础上再按综合排序二次排序。</w:t>
      </w:r>
    </w:p>
    <w:p>
      <w:pPr>
        <w:pStyle w:val="BodyBullet"/>
      </w:pPr>
      <w:r>
        <w:rPr>
          <w:b/>
        </w:rPr>
        <w:t xml:space="preserve">• </w:t>
      </w:r>
      <w:r>
        <w:t>列表分页必须稳定，任何一页都在“权限过滤后结果集”上分页，禁止先分页后过滤。</w:t>
      </w:r>
    </w:p>
    <w:p>
      <w:pPr>
        <w:pStyle w:val="Heading2"/>
      </w:pPr>
      <w:r>
        <w:t>异常与降级策略</w:t>
      </w:r>
    </w:p>
    <w:p>
      <w:pPr>
        <w:pStyle w:val="BodyBullet"/>
      </w:pPr>
      <w:r>
        <w:rPr>
          <w:b/>
        </w:rPr>
        <w:t xml:space="preserve">• </w:t>
      </w:r>
      <w:r>
        <w:t>角色识别不可靠时展示“待确认”，不得因为缺少角色而把整条人才记录隐藏。</w:t>
      </w:r>
    </w:p>
    <w:p>
      <w:pPr>
        <w:pStyle w:val="BodyBullet"/>
      </w:pPr>
      <w:r>
        <w:rPr>
          <w:b/>
        </w:rPr>
        <w:t xml:space="preserve">• </w:t>
      </w:r>
      <w:r>
        <w:t>无结果时应返回明确空态，并保留当前搜索条件或学校上下文，方便用户继续调整。</w:t>
      </w:r>
    </w:p>
    <w:p>
      <w:pPr>
        <w:pStyle w:val="BodyBullet"/>
      </w:pPr>
      <w:r>
        <w:rPr>
          <w:b/>
        </w:rPr>
        <w:t xml:space="preserve">• </w:t>
      </w:r>
      <w:r>
        <w:t>如果列表中某条人才的学校失效或权限失效，应在服务端被过滤掉而非前端临时隐藏。</w:t>
      </w:r>
    </w:p>
    <w:p>
      <w:pPr>
        <w:pStyle w:val="Heading2"/>
      </w:pPr>
      <w:r>
        <w:t>日志与监控要求</w:t>
      </w:r>
    </w:p>
    <w:p>
      <w:pPr>
        <w:pStyle w:val="BodyBullet"/>
      </w:pPr>
      <w:r>
        <w:rPr>
          <w:b/>
        </w:rPr>
        <w:t xml:space="preserve">• </w:t>
      </w:r>
      <w:r>
        <w:t>记录查询来源（学校/搜索）、页码、page size、总命中数、过滤前后条数、排序模式和响应耗时。</w:t>
      </w:r>
    </w:p>
    <w:p>
      <w:pPr>
        <w:pStyle w:val="BodyBullet"/>
      </w:pPr>
      <w:r>
        <w:rPr>
          <w:b/>
        </w:rPr>
        <w:t xml:space="preserve">• </w:t>
      </w:r>
      <w:r>
        <w:t>对查询慢请求、超大分页、异常角色值、学校上下文缺失打警告日志。</w:t>
      </w:r>
    </w:p>
    <w:p>
      <w:pPr>
        <w:pStyle w:val="Heading2"/>
      </w:pPr>
      <w:r>
        <w:t>测试关注点</w:t>
      </w:r>
    </w:p>
    <w:p>
      <w:pPr>
        <w:pStyle w:val="BodyBullet"/>
      </w:pPr>
      <w:r>
        <w:rPr>
          <w:b/>
        </w:rPr>
        <w:t xml:space="preserve">• </w:t>
      </w:r>
      <w:r>
        <w:t>学校上下文进入的人才列表只包含该校且授权范围内的人才。</w:t>
      </w:r>
    </w:p>
    <w:p>
      <w:pPr>
        <w:pStyle w:val="BodyBullet"/>
      </w:pPr>
      <w:r>
        <w:rPr>
          <w:b/>
        </w:rPr>
        <w:t xml:space="preserve">• </w:t>
      </w:r>
      <w:r>
        <w:t>搜索结果列表与学校列表显示字段一致，角色标签、技术方向标签清晰可辨。</w:t>
      </w:r>
    </w:p>
    <w:p>
      <w:pPr>
        <w:pStyle w:val="BodyBullet"/>
      </w:pPr>
      <w:r>
        <w:rPr>
          <w:b/>
        </w:rPr>
        <w:t xml:space="preserve">• </w:t>
      </w:r>
      <w:r>
        <w:t>分页翻页前后不丢数据、不重复数据，且总数稳定。</w:t>
      </w:r>
    </w:p>
    <w:p>
      <w:pPr>
        <w:pStyle w:val="Heading1"/>
      </w:pPr>
      <w:r>
        <w:t>8. M5 人才详情模块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聚合展示候选人的关键信息，帮助用户判断“是否值得进一步跟进”，是列表后的深看页面。</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人才列表点击某一候选人</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人才画像、当前角色、技术方向、代表成果、学校上下文、后续跟进判断信息</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talent / talent_role_profile / work summary projection / collaboration snippet / permission check</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详情头部</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姓名、当前角色、学校、方向标签</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快速判断人物身份</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talent projection</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代表成果区</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代表成果摘要、活跃度提示</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帮助识别学术影响与方向匹配</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work summary service</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学校/关系摘要区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学校上下文、基础合作摘要</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补充背景判断</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school + collaboration service</w:t>
            </w:r>
          </w:p>
        </w:tc>
      </w:tr>
    </w:tbl>
    <w:p/>
    <w:p>
      <w:pPr>
        <w:pStyle w:val="Heading2"/>
      </w:pPr>
      <w:r>
        <w:t>核心处理规则</w:t>
      </w:r>
    </w:p>
    <w:p>
      <w:pPr>
        <w:pStyle w:val="BodyBullet"/>
      </w:pPr>
      <w:r>
        <w:rPr>
          <w:b/>
        </w:rPr>
        <w:t xml:space="preserve">• </w:t>
      </w:r>
      <w:r>
        <w:t>详情页以“辅助招聘判断”为目标，不追求一次性堆叠所有学术原始字段；优先展示角色、学校、方向、代表成果和活跃度。</w:t>
      </w:r>
    </w:p>
    <w:p>
      <w:pPr>
        <w:pStyle w:val="BodyBullet"/>
      </w:pPr>
      <w:r>
        <w:rPr>
          <w:b/>
        </w:rPr>
        <w:t xml:space="preserve">• </w:t>
      </w:r>
      <w:r>
        <w:t>若有代表成果摘要，应控制展示粒度，避免页面变成论文全文列表；详情页重点是“判断价值”而不是“学术数据库全文检索”。</w:t>
      </w:r>
    </w:p>
    <w:p>
      <w:pPr>
        <w:pStyle w:val="BodyBullet"/>
      </w:pPr>
      <w:r>
        <w:rPr>
          <w:b/>
        </w:rPr>
        <w:t xml:space="preserve">• </w:t>
      </w:r>
      <w:r>
        <w:t>详情页必须复用与列表一致的角色口径和学校权限口径，不能因为直达详情而绕过权限。</w:t>
      </w:r>
    </w:p>
    <w:p>
      <w:pPr>
        <w:pStyle w:val="BodyBullet"/>
      </w:pPr>
      <w:r>
        <w:rPr>
          <w:b/>
        </w:rPr>
        <w:t xml:space="preserve">• </w:t>
      </w:r>
      <w:r>
        <w:t>关系网络第一阶段仅建议展示轻量摘要（如合作作者数、代表合作者），不强制做复杂图谱可视化。</w:t>
      </w:r>
    </w:p>
    <w:p>
      <w:pPr>
        <w:pStyle w:val="Heading2"/>
      </w:pPr>
      <w:r>
        <w:t>异常与降级策略</w:t>
      </w:r>
    </w:p>
    <w:p>
      <w:pPr>
        <w:pStyle w:val="BodyBullet"/>
      </w:pPr>
      <w:r>
        <w:rPr>
          <w:b/>
        </w:rPr>
        <w:t xml:space="preserve">• </w:t>
      </w:r>
      <w:r>
        <w:t>候选人详情对象缺字段时允许部分区块空置，但头部身份信息必须尽量稳定可见；完全缺失则返回“信息待补充”。</w:t>
      </w:r>
    </w:p>
    <w:p>
      <w:pPr>
        <w:pStyle w:val="BodyBullet"/>
      </w:pPr>
      <w:r>
        <w:rPr>
          <w:b/>
        </w:rPr>
        <w:t xml:space="preserve">• </w:t>
      </w:r>
      <w:r>
        <w:t>无权限访问详情时直接拒绝，不回退到列表页并静默展示其他候选人。</w:t>
      </w:r>
    </w:p>
    <w:p>
      <w:pPr>
        <w:pStyle w:val="BodyBullet"/>
      </w:pPr>
      <w:r>
        <w:rPr>
          <w:b/>
        </w:rPr>
        <w:t xml:space="preserve">• </w:t>
      </w:r>
      <w:r>
        <w:t>候选人被删除或版本切换后失效时，可提示“当前版本已不可查看”，并建议返回列表刷新。</w:t>
      </w:r>
    </w:p>
    <w:p>
      <w:pPr>
        <w:pStyle w:val="Heading2"/>
      </w:pPr>
      <w:r>
        <w:t>日志与监控要求</w:t>
      </w:r>
    </w:p>
    <w:p>
      <w:pPr>
        <w:pStyle w:val="BodyBullet"/>
      </w:pPr>
      <w:r>
        <w:rPr>
          <w:b/>
        </w:rPr>
        <w:t xml:space="preserve">• </w:t>
      </w:r>
      <w:r>
        <w:t>记录详情访问来源（学校列表/搜索列表）、talent_id、school_id 上下文、加载耗时、字段缺失率。</w:t>
      </w:r>
    </w:p>
    <w:p>
      <w:pPr>
        <w:pStyle w:val="BodyBullet"/>
      </w:pPr>
      <w:r>
        <w:rPr>
          <w:b/>
        </w:rPr>
        <w:t xml:space="preserve">• </w:t>
      </w:r>
      <w:r>
        <w:t>对详情页热点访问与失败访问分别统计，便于识别真实高价值人才与数据质量短板。</w:t>
      </w:r>
    </w:p>
    <w:p>
      <w:pPr>
        <w:pStyle w:val="Heading2"/>
      </w:pPr>
      <w:r>
        <w:t>测试关注点</w:t>
      </w:r>
    </w:p>
    <w:p>
      <w:pPr>
        <w:pStyle w:val="BodyBullet"/>
      </w:pPr>
      <w:r>
        <w:rPr>
          <w:b/>
        </w:rPr>
        <w:t xml:space="preserve">• </w:t>
      </w:r>
      <w:r>
        <w:t>详情页展示的信息能支撑“值不值得继续看/联系”的判断。</w:t>
      </w:r>
    </w:p>
    <w:p>
      <w:pPr>
        <w:pStyle w:val="BodyBullet"/>
      </w:pPr>
      <w:r>
        <w:rPr>
          <w:b/>
        </w:rPr>
        <w:t xml:space="preserve">• </w:t>
      </w:r>
      <w:r>
        <w:t>列表-详情-返回列表路径顺畅，不丢失上下文与分页位置（前端可选优化）。</w:t>
      </w:r>
    </w:p>
    <w:p>
      <w:pPr>
        <w:pStyle w:val="BodyBullet"/>
      </w:pPr>
      <w:r>
        <w:rPr>
          <w:b/>
        </w:rPr>
        <w:t xml:space="preserve">• </w:t>
      </w:r>
      <w:r>
        <w:t>无权限或失效对象有明确反馈。</w:t>
      </w:r>
    </w:p>
    <w:p>
      <w:pPr>
        <w:pStyle w:val="Heading1"/>
      </w:pPr>
      <w:r>
        <w:t>9. M6 关键字搜索模块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为用户提供直接到人的检索入口，减少必须先选学校再看人的步骤，是浏览路径的重要补充。</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首页全局搜索框、列表内二次搜索、学校目录过滤入口</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人才搜索结果列表，必要时带学校命中提示</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search index / query parser / permission filter / ranking service</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搜索输入框</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支持直接输入姓名/学校/方向</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回车或按钮触发</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搜索接口</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搜索结果列表</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复用人才列表组件</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显示命中结果</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统一列表查询服务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搜索空态</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提示改词或去学校浏览</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保留原输入</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前端状态逻辑</w:t>
            </w:r>
          </w:p>
        </w:tc>
      </w:tr>
    </w:tbl>
    <w:p/>
    <w:p>
      <w:pPr>
        <w:pStyle w:val="Heading2"/>
      </w:pPr>
      <w:r>
        <w:t>核心处理规则</w:t>
      </w:r>
    </w:p>
    <w:p>
      <w:pPr>
        <w:pStyle w:val="BodyBullet"/>
      </w:pPr>
      <w:r>
        <w:rPr>
          <w:b/>
        </w:rPr>
        <w:t xml:space="preserve">• </w:t>
      </w:r>
      <w:r>
        <w:t>第一阶段支持的关键字类型：人才姓名、学校名称、技术方向/研究方向关键词；搜索语义保持可解释，不引入复杂 AI 排序黑箱。</w:t>
      </w:r>
    </w:p>
    <w:p>
      <w:pPr>
        <w:pStyle w:val="BodyBullet"/>
      </w:pPr>
      <w:r>
        <w:rPr>
          <w:b/>
        </w:rPr>
        <w:t xml:space="preserve">• </w:t>
      </w:r>
      <w:r>
        <w:t>搜索结果先在可检索投影中命中候选集合，再叠加学校权限过滤，最后执行排序和分页。</w:t>
      </w:r>
    </w:p>
    <w:p>
      <w:pPr>
        <w:pStyle w:val="BodyBullet"/>
      </w:pPr>
      <w:r>
        <w:rPr>
          <w:b/>
        </w:rPr>
        <w:t xml:space="preserve">• </w:t>
      </w:r>
      <w:r>
        <w:t>搜索输入为空时不执行全库扫描；应提示用户输入关键字或引导改用学校浏览。</w:t>
      </w:r>
    </w:p>
    <w:p>
      <w:pPr>
        <w:pStyle w:val="BodyBullet"/>
      </w:pPr>
      <w:r>
        <w:rPr>
          <w:b/>
        </w:rPr>
        <w:t xml:space="preserve">• </w:t>
      </w:r>
      <w:r>
        <w:t>搜索结果进入统一人才列表视图，避免额外再做一套搜索结果页组件。</w:t>
      </w:r>
    </w:p>
    <w:p>
      <w:pPr>
        <w:pStyle w:val="Heading2"/>
      </w:pPr>
      <w:r>
        <w:t>异常与降级策略</w:t>
      </w:r>
    </w:p>
    <w:p>
      <w:pPr>
        <w:pStyle w:val="BodyBullet"/>
      </w:pPr>
      <w:r>
        <w:rPr>
          <w:b/>
        </w:rPr>
        <w:t xml:space="preserve">• </w:t>
      </w:r>
      <w:r>
        <w:t>无命中时返回空态与建议文案（如更换关键词、从学校浏览进入）；不能静默返回首页。</w:t>
      </w:r>
    </w:p>
    <w:p>
      <w:pPr>
        <w:pStyle w:val="BodyBullet"/>
      </w:pPr>
      <w:r>
        <w:rPr>
          <w:b/>
        </w:rPr>
        <w:t xml:space="preserve">• </w:t>
      </w:r>
      <w:r>
        <w:t>搜索服务异常时可返回可识别错误提示，并保留用户输入，便于重试。</w:t>
      </w:r>
    </w:p>
    <w:p>
      <w:pPr>
        <w:pStyle w:val="BodyBullet"/>
      </w:pPr>
      <w:r>
        <w:rPr>
          <w:b/>
        </w:rPr>
        <w:t xml:space="preserve">• </w:t>
      </w:r>
      <w:r>
        <w:t>如果用户输入命中未授权学校或未授权人才，应在权限过滤后消失，不在页面提示“你搜到了但没权限”。</w:t>
      </w:r>
    </w:p>
    <w:p>
      <w:pPr>
        <w:pStyle w:val="Heading2"/>
      </w:pPr>
      <w:r>
        <w:t>日志与监控要求</w:t>
      </w:r>
    </w:p>
    <w:p>
      <w:pPr>
        <w:pStyle w:val="BodyBullet"/>
      </w:pPr>
      <w:r>
        <w:rPr>
          <w:b/>
        </w:rPr>
        <w:t xml:space="preserve">• </w:t>
      </w:r>
      <w:r>
        <w:t>记录原始关键字、分词结果、命中条数、权限过滤后条数、排序耗时与查询耗时。</w:t>
      </w:r>
    </w:p>
    <w:p>
      <w:pPr>
        <w:pStyle w:val="BodyBullet"/>
      </w:pPr>
      <w:r>
        <w:rPr>
          <w:b/>
        </w:rPr>
        <w:t xml:space="preserve">• </w:t>
      </w:r>
      <w:r>
        <w:t>为高频关键字和慢查询做 TopN 统计，为后续索引优化提供依据。</w:t>
      </w:r>
    </w:p>
    <w:p>
      <w:pPr>
        <w:pStyle w:val="Heading2"/>
      </w:pPr>
      <w:r>
        <w:t>测试关注点</w:t>
      </w:r>
    </w:p>
    <w:p>
      <w:pPr>
        <w:pStyle w:val="BodyBullet"/>
      </w:pPr>
      <w:r>
        <w:rPr>
          <w:b/>
        </w:rPr>
        <w:t xml:space="preserve">• </w:t>
      </w:r>
      <w:r>
        <w:t>姓名、学校、方向三个关键字类型都能返回合理结果。</w:t>
      </w:r>
    </w:p>
    <w:p>
      <w:pPr>
        <w:pStyle w:val="BodyBullet"/>
      </w:pPr>
      <w:r>
        <w:rPr>
          <w:b/>
        </w:rPr>
        <w:t xml:space="preserve">• </w:t>
      </w:r>
      <w:r>
        <w:t>权限过滤后结果不泄露未授权数据，也不会出现总数口径异常。</w:t>
      </w:r>
    </w:p>
    <w:p>
      <w:pPr>
        <w:pStyle w:val="BodyBullet"/>
      </w:pPr>
      <w:r>
        <w:rPr>
          <w:b/>
        </w:rPr>
        <w:t xml:space="preserve">• </w:t>
      </w:r>
      <w:r>
        <w:t>搜索结果能顺畅进入详情页或学校上下文。</w:t>
      </w:r>
    </w:p>
    <w:p>
      <w:pPr>
        <w:pStyle w:val="Heading1"/>
      </w:pPr>
      <w:r>
        <w:t>10. M7 权限管理模块</w:t>
      </w:r>
    </w:p>
    <w:tbl>
      <w:tblPr>
        <w:tblStyle w:val="TableGrid"/>
        <w:tblW w:type="auto" w:w="0"/>
        <w:jc w:val="center"/>
        <w:tblLook w:firstColumn="1" w:firstRow="1" w:lastColumn="0" w:lastRow="0" w:noHBand="0" w:noVBand="1" w:val="04A0"/>
      </w:tblPr>
      <w:tblGrid>
        <w:gridCol w:w="4957"/>
        <w:gridCol w:w="4957"/>
      </w:tblGrid>
      <w:tr>
        <w:tc>
          <w:tcPr>
            <w:tcW w:type="dxa" w:w="192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项目</w:t>
            </w:r>
          </w:p>
        </w:tc>
        <w:tc>
          <w:tcPr>
            <w:tcW w:type="dxa" w:w="7143"/>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说明</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模块目标</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支持管理员为不同用户配置可查看学校范围，是“谁能看什么”的控制中枢。</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主要入口</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管理员后台权限配置页</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输出对象</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用户基础信息、已授权学校集合、变更结果、审计日志</w:t>
            </w:r>
          </w:p>
        </w:tc>
      </w:tr>
      <w:tr>
        <w:tc>
          <w:tcPr>
            <w:tcW w:type="dxa" w:w="1928"/>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核心后端对象/服务</w:t>
            </w:r>
          </w:p>
        </w:tc>
        <w:tc>
          <w:tcPr>
            <w:tcW w:type="dxa" w:w="7143"/>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user / user_school_scope / permission cache / audit log</w:t>
            </w:r>
          </w:p>
        </w:tc>
      </w:tr>
      <w:tr>
        <w:tc>
          <w:tcPr>
            <w:tcW w:type="dxa" w:w="1928"/>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一期范围定位</w:t>
            </w:r>
          </w:p>
        </w:tc>
        <w:tc>
          <w:tcPr>
            <w:tcW w:type="dxa" w:w="7143"/>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第一阶段必须可用；设计上预留学院/实验室、多源接入与更细粒度权限扩展</w:t>
            </w:r>
          </w:p>
        </w:tc>
      </w:tr>
    </w:tbl>
    <w:p/>
    <w:p>
      <w:pPr>
        <w:pStyle w:val="Heading2"/>
      </w:pPr>
      <w:r>
        <w:t>关键页面/组件</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170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组件</w:t>
            </w:r>
          </w:p>
        </w:tc>
        <w:tc>
          <w:tcPr>
            <w:tcW w:type="dxa" w:w="300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设计要点</w:t>
            </w:r>
          </w:p>
        </w:tc>
        <w:tc>
          <w:tcPr>
            <w:tcW w:type="dxa" w:w="209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前端动作</w:t>
            </w:r>
          </w:p>
        </w:tc>
        <w:tc>
          <w:tcPr>
            <w:tcW w:type="dxa" w:w="2268"/>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7"/>
              </w:rPr>
              <w:t>后端支持</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用户选择区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按用户检索并查看当前权限范围</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选择用户后加载其授权学校</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用户服务</w:t>
            </w:r>
          </w:p>
        </w:tc>
      </w:tr>
      <w:tr>
        <w:tc>
          <w:tcPr>
            <w:tcW w:type="dxa" w:w="170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7"/>
              </w:rPr>
              <w:t>学校授权区</w:t>
            </w:r>
          </w:p>
        </w:tc>
        <w:tc>
          <w:tcPr>
            <w:tcW w:type="dxa" w:w="300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学校多选或穿梭框</w:t>
            </w:r>
          </w:p>
        </w:tc>
        <w:tc>
          <w:tcPr>
            <w:tcW w:type="dxa" w:w="209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保存授权集合</w:t>
            </w:r>
          </w:p>
        </w:tc>
        <w:tc>
          <w:tcPr>
            <w:tcW w:type="dxa" w:w="2268"/>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7"/>
              </w:rPr>
              <w:t>权限写入服务</w:t>
            </w:r>
          </w:p>
        </w:tc>
      </w:tr>
      <w:tr>
        <w:tc>
          <w:tcPr>
            <w:tcW w:type="dxa" w:w="170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7"/>
              </w:rPr>
              <w:t>审计摘要区</w:t>
            </w:r>
          </w:p>
        </w:tc>
        <w:tc>
          <w:tcPr>
            <w:tcW w:type="dxa" w:w="300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显示最近几次权限变更</w:t>
            </w:r>
          </w:p>
        </w:tc>
        <w:tc>
          <w:tcPr>
            <w:tcW w:type="dxa" w:w="209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辅助复核</w:t>
            </w:r>
          </w:p>
        </w:tc>
        <w:tc>
          <w:tcPr>
            <w:tcW w:type="dxa" w:w="2268"/>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7"/>
              </w:rPr>
              <w:t>审计日志服务</w:t>
            </w:r>
          </w:p>
        </w:tc>
      </w:tr>
    </w:tbl>
    <w:p/>
    <w:p>
      <w:pPr>
        <w:pStyle w:val="Heading2"/>
      </w:pPr>
      <w:r>
        <w:t>核心处理规则</w:t>
      </w:r>
    </w:p>
    <w:p>
      <w:pPr>
        <w:pStyle w:val="BodyBullet"/>
      </w:pPr>
      <w:r>
        <w:rPr>
          <w:b/>
        </w:rPr>
        <w:t xml:space="preserve">• </w:t>
      </w:r>
      <w:r>
        <w:t>第一阶段只支持按学校范围授权；不做学院、实验室、技术方向等更细粒度权限，但数据模型应允许后续扩展 scope_type。</w:t>
      </w:r>
    </w:p>
    <w:p>
      <w:pPr>
        <w:pStyle w:val="BodyBullet"/>
      </w:pPr>
      <w:r>
        <w:rPr>
          <w:b/>
        </w:rPr>
        <w:t xml:space="preserve">• </w:t>
      </w:r>
      <w:r>
        <w:t>权限配置生效后，首页总览、国家-学校目录、学校页、人才列表、详情页、搜索结果都必须同步受控。</w:t>
      </w:r>
    </w:p>
    <w:p>
      <w:pPr>
        <w:pStyle w:val="BodyBullet"/>
      </w:pPr>
      <w:r>
        <w:rPr>
          <w:b/>
        </w:rPr>
        <w:t xml:space="preserve">• </w:t>
      </w:r>
      <w:r>
        <w:t>管理员对用户学校集合的增删改必须记录审计日志，包括操作人、操作时间、变更前后差异。</w:t>
      </w:r>
    </w:p>
    <w:p>
      <w:pPr>
        <w:pStyle w:val="BodyBullet"/>
      </w:pPr>
      <w:r>
        <w:rPr>
          <w:b/>
        </w:rPr>
        <w:t xml:space="preserve">• </w:t>
      </w:r>
      <w:r>
        <w:t>若系统使用权限缓存，配置提交后必须有清晰的刷新机制，保证后续访问在可接受时间内生效。</w:t>
      </w:r>
    </w:p>
    <w:p>
      <w:pPr>
        <w:pStyle w:val="Heading2"/>
      </w:pPr>
      <w:r>
        <w:t>异常与降级策略</w:t>
      </w:r>
    </w:p>
    <w:p>
      <w:pPr>
        <w:pStyle w:val="BodyBullet"/>
      </w:pPr>
      <w:r>
        <w:rPr>
          <w:b/>
        </w:rPr>
        <w:t xml:space="preserve">• </w:t>
      </w:r>
      <w:r>
        <w:t>目标用户不存在时不可写入孤儿权限记录；配置页返回明确错误。</w:t>
      </w:r>
    </w:p>
    <w:p>
      <w:pPr>
        <w:pStyle w:val="BodyBullet"/>
      </w:pPr>
      <w:r>
        <w:rPr>
          <w:b/>
        </w:rPr>
        <w:t xml:space="preserve">• </w:t>
      </w:r>
      <w:r>
        <w:t>若配置的学校 ID 已下线或不存在，应拒绝保存并提示管理员修正，或按设计允许保存但标记失效学校。</w:t>
      </w:r>
    </w:p>
    <w:p>
      <w:pPr>
        <w:pStyle w:val="BodyBullet"/>
      </w:pPr>
      <w:r>
        <w:rPr>
          <w:b/>
        </w:rPr>
        <w:t xml:space="preserve">• </w:t>
      </w:r>
      <w:r>
        <w:t>权限缓存刷新失败时，不应把数据库写入回滚掉，但必须记录告警并提示管理员稍后复核。</w:t>
      </w:r>
    </w:p>
    <w:p>
      <w:pPr>
        <w:pStyle w:val="Heading2"/>
      </w:pPr>
      <w:r>
        <w:t>日志与监控要求</w:t>
      </w:r>
    </w:p>
    <w:p>
      <w:pPr>
        <w:pStyle w:val="BodyBullet"/>
      </w:pPr>
      <w:r>
        <w:rPr>
          <w:b/>
        </w:rPr>
        <w:t xml:space="preserve">• </w:t>
      </w:r>
      <w:r>
        <w:t>记录管理员操作日志、学校集合变更差异、缓存刷新耗时与失败原因。</w:t>
      </w:r>
    </w:p>
    <w:p>
      <w:pPr>
        <w:pStyle w:val="BodyBullet"/>
      </w:pPr>
      <w:r>
        <w:rPr>
          <w:b/>
        </w:rPr>
        <w:t xml:space="preserve">• </w:t>
      </w:r>
      <w:r>
        <w:t>对“用户无权限但持续访问受限页面”的行为做审计统计，用于后续权限沟通与支持。</w:t>
      </w:r>
    </w:p>
    <w:p>
      <w:pPr>
        <w:pStyle w:val="Heading2"/>
      </w:pPr>
      <w:r>
        <w:t>测试关注点</w:t>
      </w:r>
    </w:p>
    <w:p>
      <w:pPr>
        <w:pStyle w:val="BodyBullet"/>
      </w:pPr>
      <w:r>
        <w:rPr>
          <w:b/>
        </w:rPr>
        <w:t xml:space="preserve">• </w:t>
      </w:r>
      <w:r>
        <w:t>管理员可成功为用户配置多个学校，并立即在用户视角生效。</w:t>
      </w:r>
    </w:p>
    <w:p>
      <w:pPr>
        <w:pStyle w:val="BodyBullet"/>
      </w:pPr>
      <w:r>
        <w:rPr>
          <w:b/>
        </w:rPr>
        <w:t xml:space="preserve">• </w:t>
      </w:r>
      <w:r>
        <w:t>无权限用户通过搜索或 URL 直达也不能越权看到学校或人才。</w:t>
      </w:r>
    </w:p>
    <w:p>
      <w:pPr>
        <w:pStyle w:val="BodyBullet"/>
      </w:pPr>
      <w:r>
        <w:rPr>
          <w:b/>
        </w:rPr>
        <w:t xml:space="preserve">• </w:t>
      </w:r>
      <w:r>
        <w:t>变更日志可追溯到具体学校集合差异。</w:t>
      </w:r>
    </w:p>
    <w:p>
      <w:pPr>
        <w:pStyle w:val="Heading1"/>
      </w:pPr>
      <w:r>
        <w:t>11. 跨模块公共设计要点</w:t>
      </w:r>
    </w:p>
    <w:tbl>
      <w:tblPr>
        <w:tblStyle w:val="TableGrid"/>
        <w:tblW w:type="auto" w:w="0"/>
        <w:jc w:val="center"/>
        <w:tblLook w:firstColumn="1" w:firstRow="1" w:lastColumn="0" w:lastRow="0" w:noHBand="0" w:noVBand="1" w:val="04A0"/>
      </w:tblPr>
      <w:tblGrid>
        <w:gridCol w:w="4957"/>
        <w:gridCol w:w="4957"/>
      </w:tblGrid>
      <w:tr>
        <w:tc>
          <w:tcPr>
            <w:tcW w:type="dxa" w:w="1531"/>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主题</w:t>
            </w:r>
          </w:p>
        </w:tc>
        <w:tc>
          <w:tcPr>
            <w:tcW w:type="dxa" w:w="7540"/>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公共约束</w:t>
            </w:r>
          </w:p>
        </w:tc>
      </w:tr>
      <w:tr>
        <w:tc>
          <w:tcPr>
            <w:tcW w:type="dxa" w:w="153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权限一致性</w:t>
            </w:r>
          </w:p>
        </w:tc>
        <w:tc>
          <w:tcPr>
            <w:tcW w:type="dxa" w:w="754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任一页面和接口都必须先取用户学校范围，再进行目录/搜索/统计/详情处理，禁止前后端口径分叉。</w:t>
            </w:r>
          </w:p>
        </w:tc>
      </w:tr>
      <w:tr>
        <w:tc>
          <w:tcPr>
            <w:tcW w:type="dxa" w:w="153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版本一致性</w:t>
            </w:r>
          </w:p>
        </w:tc>
        <w:tc>
          <w:tcPr>
            <w:tcW w:type="dxa" w:w="7540"/>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首页、学校页、列表、详情与搜索都基于同一个 current_active_version 读取，避免不同页面看到不同批次数据。</w:t>
            </w:r>
          </w:p>
        </w:tc>
      </w:tr>
      <w:tr>
        <w:tc>
          <w:tcPr>
            <w:tcW w:type="dxa" w:w="153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统计口径</w:t>
            </w:r>
          </w:p>
        </w:tc>
        <w:tc>
          <w:tcPr>
            <w:tcW w:type="dxa" w:w="754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高校数、教授数、学生数基于去重后可展示对象；待确认角色不强行并入任何一类。</w:t>
            </w:r>
          </w:p>
        </w:tc>
      </w:tr>
      <w:tr>
        <w:tc>
          <w:tcPr>
            <w:tcW w:type="dxa" w:w="153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角色识别</w:t>
            </w:r>
          </w:p>
        </w:tc>
        <w:tc>
          <w:tcPr>
            <w:tcW w:type="dxa" w:w="7540"/>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统一使用 role profile，避免列表、详情、统计各自单独推断角色。</w:t>
            </w:r>
          </w:p>
        </w:tc>
      </w:tr>
      <w:tr>
        <w:tc>
          <w:tcPr>
            <w:tcW w:type="dxa" w:w="1531"/>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缓存策略</w:t>
            </w:r>
          </w:p>
        </w:tc>
        <w:tc>
          <w:tcPr>
            <w:tcW w:type="dxa" w:w="7540"/>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可缓存目录、统计和学校页，但缓存键必须包含 user scope 或 scope digest，防止权限串读。</w:t>
            </w:r>
          </w:p>
        </w:tc>
      </w:tr>
      <w:tr>
        <w:tc>
          <w:tcPr>
            <w:tcW w:type="dxa" w:w="1531"/>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异常风格</w:t>
            </w:r>
          </w:p>
        </w:tc>
        <w:tc>
          <w:tcPr>
            <w:tcW w:type="dxa" w:w="7540"/>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前端页面统一具备空态、加载态、异常态、无权限态，不允许用空白页表示异常。</w:t>
            </w:r>
          </w:p>
        </w:tc>
      </w:tr>
    </w:tbl>
    <w:p/>
    <w:p>
      <w:pPr>
        <w:pStyle w:val="Heading1"/>
      </w:pPr>
      <w:r>
        <w:t>12. 开发任务拆解建议</w:t>
      </w:r>
    </w:p>
    <w:tbl>
      <w:tblPr>
        <w:tblStyle w:val="TableGrid"/>
        <w:tblW w:type="auto" w:w="0"/>
        <w:jc w:val="center"/>
        <w:tblLook w:firstColumn="1" w:firstRow="1" w:lastColumn="0" w:lastRow="0" w:noHBand="0" w:noVBand="1" w:val="04A0"/>
      </w:tblPr>
      <w:tblGrid>
        <w:gridCol w:w="3305"/>
        <w:gridCol w:w="3305"/>
        <w:gridCol w:w="3305"/>
      </w:tblGrid>
      <w:tr>
        <w:tc>
          <w:tcPr>
            <w:tcW w:type="dxa" w:w="1134"/>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迭代</w:t>
            </w:r>
          </w:p>
        </w:tc>
        <w:tc>
          <w:tcPr>
            <w:tcW w:type="dxa" w:w="4082"/>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建议任务包</w:t>
            </w:r>
          </w:p>
        </w:tc>
        <w:tc>
          <w:tcPr>
            <w:tcW w:type="dxa" w:w="3855"/>
            <w:vAlign w:val="center"/>
            <w:tcMar>
              <w:top w:w="90" w:type="dxa"/>
              <w:left w:w="90" w:type="dxa"/>
              <w:bottom w:w="90" w:type="dxa"/>
              <w:right w:w="90" w:type="dxa"/>
            </w:tcMar>
            <w:shd w:fill="D9EAF7"/>
          </w:tcPr>
          <w:p>
            <w:pPr>
              <w:spacing w:before="0" w:after="0" w:line="276" w:lineRule="auto"/>
              <w:jc w:val="center"/>
            </w:pPr>
            <w:r/>
            <w:r>
              <w:rPr>
                <w:rFonts w:ascii="Microsoft YaHei" w:hAnsi="Microsoft YaHei" w:eastAsia="Microsoft YaHei"/>
                <w:b/>
                <w:color w:val="305496"/>
                <w:sz w:val="18"/>
              </w:rPr>
              <w:t>输出物</w:t>
            </w:r>
          </w:p>
        </w:tc>
      </w:tr>
      <w:tr>
        <w:tc>
          <w:tcPr>
            <w:tcW w:type="dxa" w:w="113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迭代 1</w:t>
            </w:r>
          </w:p>
        </w:tc>
        <w:tc>
          <w:tcPr>
            <w:tcW w:type="dxa" w:w="4082"/>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M8 底座：批次表、原始留存、school/talent/role 构建、统计快照、版本切换</w:t>
            </w:r>
          </w:p>
        </w:tc>
        <w:tc>
          <w:tcPr>
            <w:tcW w:type="dxa" w:w="385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可入库、可生成统计、可复跑</w:t>
            </w:r>
          </w:p>
        </w:tc>
      </w:tr>
      <w:tr>
        <w:tc>
          <w:tcPr>
            <w:tcW w:type="dxa" w:w="113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迭代 2</w:t>
            </w:r>
          </w:p>
        </w:tc>
        <w:tc>
          <w:tcPr>
            <w:tcW w:type="dxa" w:w="4082"/>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M1/M2/M3/M4：首页总览、国家-学校目录、学校页、人才列表</w:t>
            </w:r>
          </w:p>
        </w:tc>
        <w:tc>
          <w:tcPr>
            <w:tcW w:type="dxa" w:w="385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最小可用前台</w:t>
            </w:r>
          </w:p>
        </w:tc>
      </w:tr>
      <w:tr>
        <w:tc>
          <w:tcPr>
            <w:tcW w:type="dxa" w:w="1134"/>
            <w:vAlign w:val="center"/>
            <w:tcMar>
              <w:top w:w="90" w:type="dxa"/>
              <w:left w:w="90" w:type="dxa"/>
              <w:bottom w:w="90" w:type="dxa"/>
              <w:right w:w="90" w:type="dxa"/>
            </w:tcMar>
          </w:tcPr>
          <w:p>
            <w:pPr>
              <w:spacing w:before="0" w:after="0" w:line="276" w:lineRule="auto"/>
              <w:jc w:val="center"/>
            </w:pPr>
            <w:r/>
            <w:r>
              <w:rPr>
                <w:rFonts w:ascii="Microsoft YaHei" w:hAnsi="Microsoft YaHei" w:eastAsia="Microsoft YaHei"/>
                <w:b w:val="0"/>
                <w:sz w:val="18"/>
              </w:rPr>
              <w:t>迭代 3</w:t>
            </w:r>
          </w:p>
        </w:tc>
        <w:tc>
          <w:tcPr>
            <w:tcW w:type="dxa" w:w="4082"/>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M6/M7/M5：搜索、权限配置、人才详情</w:t>
            </w:r>
          </w:p>
        </w:tc>
        <w:tc>
          <w:tcPr>
            <w:tcW w:type="dxa" w:w="3855"/>
            <w:vAlign w:val="center"/>
            <w:tcMar>
              <w:top w:w="90" w:type="dxa"/>
              <w:left w:w="90" w:type="dxa"/>
              <w:bottom w:w="90" w:type="dxa"/>
              <w:right w:w="90" w:type="dxa"/>
            </w:tcMar>
          </w:tcPr>
          <w:p>
            <w:pPr>
              <w:spacing w:before="0" w:after="0" w:line="276" w:lineRule="auto"/>
              <w:jc w:val="left"/>
            </w:pPr>
            <w:r/>
            <w:r>
              <w:rPr>
                <w:rFonts w:ascii="Microsoft YaHei" w:hAnsi="Microsoft YaHei" w:eastAsia="Microsoft YaHei"/>
                <w:b w:val="0"/>
                <w:sz w:val="18"/>
              </w:rPr>
              <w:t>可检索、可控权、可深看</w:t>
            </w:r>
          </w:p>
        </w:tc>
      </w:tr>
      <w:tr>
        <w:tc>
          <w:tcPr>
            <w:tcW w:type="dxa" w:w="1134"/>
            <w:vAlign w:val="center"/>
            <w:tcMar>
              <w:top w:w="90" w:type="dxa"/>
              <w:left w:w="90" w:type="dxa"/>
              <w:bottom w:w="90" w:type="dxa"/>
              <w:right w:w="90" w:type="dxa"/>
            </w:tcMar>
            <w:shd w:fill="FAFCFF"/>
          </w:tcPr>
          <w:p>
            <w:pPr>
              <w:spacing w:before="0" w:after="0" w:line="276" w:lineRule="auto"/>
              <w:jc w:val="center"/>
            </w:pPr>
            <w:r/>
            <w:r>
              <w:rPr>
                <w:rFonts w:ascii="Microsoft YaHei" w:hAnsi="Microsoft YaHei" w:eastAsia="Microsoft YaHei"/>
                <w:b w:val="0"/>
                <w:sz w:val="18"/>
              </w:rPr>
              <w:t>迭代 4</w:t>
            </w:r>
          </w:p>
        </w:tc>
        <w:tc>
          <w:tcPr>
            <w:tcW w:type="dxa" w:w="4082"/>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跨模块收敛：异常态、日志、性能、缓存、回归修复</w:t>
            </w:r>
          </w:p>
        </w:tc>
        <w:tc>
          <w:tcPr>
            <w:tcW w:type="dxa" w:w="3855"/>
            <w:vAlign w:val="center"/>
            <w:tcMar>
              <w:top w:w="90" w:type="dxa"/>
              <w:left w:w="90" w:type="dxa"/>
              <w:bottom w:w="90" w:type="dxa"/>
              <w:right w:w="90" w:type="dxa"/>
            </w:tcMar>
            <w:shd w:fill="FAFCFF"/>
          </w:tcPr>
          <w:p>
            <w:pPr>
              <w:spacing w:before="0" w:after="0" w:line="276" w:lineRule="auto"/>
              <w:jc w:val="left"/>
            </w:pPr>
            <w:r/>
            <w:r>
              <w:rPr>
                <w:rFonts w:ascii="Microsoft YaHei" w:hAnsi="Microsoft YaHei" w:eastAsia="Microsoft YaHei"/>
                <w:b w:val="0"/>
                <w:sz w:val="18"/>
              </w:rPr>
              <w:t>高标准 MVP 可试运行版本</w:t>
            </w:r>
          </w:p>
        </w:tc>
      </w:tr>
    </w:tbl>
    <w:p/>
    <w:p>
      <w:pPr>
        <w:pStyle w:val="Heading1"/>
      </w:pPr>
      <w:r>
        <w:t>13. 结论</w:t>
      </w:r>
    </w:p>
    <w:p>
      <w:pPr/>
      <w:r>
        <w:t>对单人 + Claude Code 的协同开发模式而言，模块详细设计的价值不在于把所有问题写死，而在于把“边界、输入输出、统一口径、异常与验收”钉牢。这样 Claude Code 可以按模块持续产出，你则可以围绕模块任务包做 review、联调和验收，既保住 Stage-Gated Agile 的阶段控制，又保留迭代开发效率。</w:t>
      </w:r>
    </w:p>
    <w:sectPr w:rsidR="00FC693F" w:rsidRPr="0006063C" w:rsidSect="00034616">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keepNext/>
    </w:pPr>
    <w:rPr>
      <w:rFonts w:asciiTheme="majorHAnsi" w:eastAsiaTheme="majorEastAsia" w:hAnsiTheme="majorHAnsi" w:cstheme="majorBidi" w:ascii="Microsoft YaHei" w:hAnsi="Microsoft YaHei" w:eastAsia="Microsoft YaHei"/>
      <w:b/>
      <w:bCs/>
      <w:color w:val="244062"/>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keepNext/>
    </w:pPr>
    <w:rPr>
      <w:rFonts w:asciiTheme="majorHAnsi" w:eastAsiaTheme="majorEastAsia" w:hAnsiTheme="majorHAnsi" w:cstheme="majorBidi" w:ascii="Microsoft YaHei" w:hAnsi="Microsoft YaHei" w:eastAsia="Microsoft YaHei"/>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Microsoft YaHei" w:hAnsi="Microsoft YaHei" w:eastAsia="Microsoft YaHei"/>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icrosoft YaHei" w:hAnsi="Microsoft YaHei"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Microsoft YaHei" w:hAnsi="Microsoft YaHei" w:eastAsia="Microsoft YaHei"/>
      <w:i/>
      <w:iCs/>
      <w:color w:val="646464"/>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line="276" w:lineRule="auto" w:after="40"/>
    </w:pPr>
    <w:rPr>
      <w:rFonts w:ascii="Microsoft YaHei" w:hAnsi="Microsoft YaHei" w:eastAsia="Microsoft YaHei"/>
      <w:color w:val="5A5A5A"/>
      <w:sz w:val="18"/>
    </w:rPr>
  </w:style>
  <w:style w:type="paragraph" w:customStyle="1" w:styleId="BodyBullet">
    <w:name w:val="BodyBullet"/>
    <w:pPr>
      <w:spacing w:after="40" w:line="288" w:lineRule="auto"/>
      <w:ind w:left="340" w:hanging="227"/>
    </w:pPr>
    <w:rPr>
      <w:rFonts w:ascii="Microsoft YaHei" w:hAnsi="Microsoft YaHei" w:eastAsia="Microsoft YaHe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