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LTitle"/>
        <w:jc w:val="center"/>
      </w:pPr>
      <w:r>
        <w:t>智能人才库项目 UI 设计说明（学术人才子系统 MVP，V1.2）</w:t>
      </w:r>
    </w:p>
    <w:p>
      <w:pPr>
        <w:pStyle w:val="TLSmall"/>
        <w:jc w:val="center"/>
      </w:pPr>
      <w:r>
        <w:t>基于新版首页基线的整体刷新稿</w:t>
      </w:r>
    </w:p>
    <w:p>
      <w:pPr>
        <w:pStyle w:val="TLBody"/>
      </w:pPr>
      <w:r>
        <w:t>本说明用于指导学术人才子系统 MVP 的页面设计、前端实现与后续高保真补齐。与平台级规范相比，本文件聚焦“本期页面如何落地”。</w:t>
      </w:r>
    </w:p>
    <w:p>
      <w:pPr>
        <w:pStyle w:val="TLH1"/>
      </w:pPr>
      <w:r>
        <w:t>1. 本期页面清单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551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pStyle w:val="TLBody"/>
            </w:pPr>
            <w:r>
              <w:rPr>
                <w:b/>
                <w:color w:val="0F172A"/>
              </w:rPr>
              <w:t>页面</w:t>
            </w:r>
          </w:p>
        </w:tc>
        <w:tc>
          <w:tcPr>
            <w:tcW w:type="dxa" w:w="2268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pStyle w:val="TLBody"/>
            </w:pPr>
            <w:r>
              <w:rPr>
                <w:b/>
                <w:color w:val="0F172A"/>
              </w:rPr>
              <w:t>定位</w:t>
            </w:r>
          </w:p>
        </w:tc>
        <w:tc>
          <w:tcPr>
            <w:tcW w:type="dxa" w:w="4252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pStyle w:val="TLBody"/>
            </w:pPr>
            <w:r>
              <w:rPr>
                <w:b/>
                <w:color w:val="0F172A"/>
              </w:rPr>
              <w:t>本期重点</w:t>
            </w:r>
          </w:p>
        </w:tc>
      </w:tr>
      <w:tr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首页总览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全局入口</w:t>
            </w:r>
          </w:p>
        </w:tc>
        <w:tc>
          <w:tcPr>
            <w:tcW w:type="dxa" w:w="4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搜索主入口、国家切换、学校目录</w:t>
            </w:r>
          </w:p>
        </w:tc>
      </w:tr>
      <w:tr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学校详情 - 教授视图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高价值导师浏览</w:t>
            </w:r>
          </w:p>
        </w:tc>
        <w:tc>
          <w:tcPr>
            <w:tcW w:type="dxa" w:w="4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页头概览、筛选器、教授卡片视图</w:t>
            </w:r>
          </w:p>
        </w:tc>
      </w:tr>
      <w:tr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学校详情 - 学生视图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博士/硕士检索</w:t>
            </w:r>
          </w:p>
        </w:tc>
        <w:tc>
          <w:tcPr>
            <w:tcW w:type="dxa" w:w="4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TAB 切换、学生表格、搜索与分页</w:t>
            </w:r>
          </w:p>
        </w:tc>
      </w:tr>
      <w:tr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人才详情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单人才深度查看</w:t>
            </w:r>
          </w:p>
        </w:tc>
        <w:tc>
          <w:tcPr>
            <w:tcW w:type="dxa" w:w="4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基础信息、成果、关系信息、操作区</w:t>
            </w:r>
          </w:p>
        </w:tc>
      </w:tr>
      <w:tr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权限配置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管理员配置页</w:t>
            </w:r>
          </w:p>
        </w:tc>
        <w:tc>
          <w:tcPr>
            <w:tcW w:type="dxa" w:w="4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按学校范围配置用户可见范围</w:t>
            </w:r>
          </w:p>
        </w:tc>
      </w:tr>
    </w:tbl>
    <w:p>
      <w:pPr>
        <w:pStyle w:val="TLH1"/>
      </w:pPr>
      <w:r>
        <w:t>2. 首页总览页</w:t>
      </w:r>
    </w:p>
    <w:p>
      <w:pPr>
        <w:pStyle w:val="TLBody"/>
      </w:pPr>
      <w:r>
        <w:t>首页以“搜索”为主入口。标题、副标题与说明文案位于左侧；KPI 卡位于右侧；大搜索框与 Hero 容器产生层叠关系；国家筛选位于搜索下方；学校目录使用 3 列卡片网格。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748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_glass_redesign_preview_c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4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LSmall"/>
        <w:jc w:val="center"/>
      </w:pPr>
      <w:r>
        <w:t>刷新后的首页基线：主入口、层级和卡片信息均已收紧。</w:t>
      </w:r>
    </w:p>
    <w:p>
      <w:pPr>
        <w:pStyle w:val="TLH1"/>
      </w:pPr>
      <w:r>
        <w:t>3. 学校详情页 - 教授视图</w:t>
      </w:r>
    </w:p>
    <w:p>
      <w:pPr>
        <w:pStyle w:val="TLBody"/>
      </w:pPr>
      <w:r>
        <w:t>学校详情页顶部保留学校概览与关键统计；正文区采用“左筛选 / 右内容”的企业 Web 布局。教授卡片展示姓名、角色、学科方向与指导学生数；优先服务招聘对导师和 PI 的初筛。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学校详情-教授视图-Glass版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LSmall"/>
        <w:jc w:val="center"/>
      </w:pPr>
      <w:r>
        <w:t>教授视图：适合作为高价值学术人才浏览页。</w:t>
      </w:r>
    </w:p>
    <w:p>
      <w:pPr>
        <w:pStyle w:val="TLH1"/>
      </w:pPr>
      <w:r>
        <w:t>4. 学校详情页 - 学生视图</w:t>
      </w:r>
    </w:p>
    <w:p>
      <w:pPr>
        <w:pStyle w:val="TLBody"/>
      </w:pPr>
      <w:r>
        <w:t>学生视图应以表格为主，突出类型、姓名、院系、导师、实验室、状态等字段。学生表格允许较高密度，但必须保持清晰列宽和稳定行高。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学校详情-学生视图-Glass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LSmall"/>
        <w:jc w:val="center"/>
      </w:pPr>
      <w:r>
        <w:t>学生视图：面向博士/硕士人才的高密度检索界面。</w:t>
      </w:r>
    </w:p>
    <w:p>
      <w:pPr>
        <w:pStyle w:val="TLH1"/>
      </w:pPr>
      <w:r>
        <w:t>5. 人才详情页与权限配置页</w:t>
      </w:r>
    </w:p>
    <w:p>
      <w:pPr>
        <w:pStyle w:val="TLBody"/>
      </w:pPr>
      <w:r>
        <w:t>人才详情页聚合人才基础信息、研究方向、代表成果与关系网络；权限配置页服务管理员按学校范围进行授权。二者均应继承平台规范中的字号、边距、按钮与状态样式。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人才详情-Glass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LSmall"/>
        <w:jc w:val="center"/>
      </w:pPr>
      <w:r>
        <w:t>人才详情页预览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权限配置-Glass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LSmall"/>
        <w:jc w:val="center"/>
      </w:pPr>
      <w:r>
        <w:t>权限配置页预览</w:t>
      </w:r>
    </w:p>
    <w:p>
      <w:pPr>
        <w:pStyle w:val="TLH1"/>
      </w:pPr>
      <w:r>
        <w:t>6. 本期前端实现约束</w:t>
      </w:r>
    </w:p>
    <w:p>
      <w:pPr>
        <w:pStyle w:val="TLBody"/>
        <w:ind w:left="340" w:hanging="227"/>
      </w:pPr>
      <w:r>
        <w:rPr>
          <w:b/>
        </w:rPr>
        <w:t xml:space="preserve">• </w:t>
      </w:r>
      <w:r>
        <w:t>基于 Ant Design 组件体系实现基础布局、表格、Tabs、Button、Input、Tag、Pagination。</w:t>
      </w:r>
    </w:p>
    <w:p>
      <w:pPr>
        <w:pStyle w:val="TLBody"/>
        <w:ind w:left="340" w:hanging="227"/>
      </w:pPr>
      <w:r>
        <w:rPr>
          <w:b/>
        </w:rPr>
        <w:t xml:space="preserve">• </w:t>
      </w:r>
      <w:r>
        <w:t>Glass 效果不在每个组件内部重复实现，而是集中在页面级容器层实现。</w:t>
      </w:r>
    </w:p>
    <w:p>
      <w:pPr>
        <w:pStyle w:val="TLBody"/>
        <w:ind w:left="340" w:hanging="227"/>
      </w:pPr>
      <w:r>
        <w:rPr>
          <w:b/>
        </w:rPr>
        <w:t xml:space="preserve">• </w:t>
      </w:r>
      <w:r>
        <w:t>首页、学校详情页优先保证结构和信息层级；视觉细节可在组件封装后逐步收敛。</w:t>
      </w:r>
    </w:p>
    <w:p>
      <w:pPr>
        <w:pStyle w:val="TLBody"/>
        <w:ind w:left="340" w:hanging="227"/>
      </w:pPr>
      <w:r>
        <w:rPr>
          <w:b/>
        </w:rPr>
        <w:t xml:space="preserve">• </w:t>
      </w:r>
      <w:r>
        <w:t>所有页面必须支持空态、异常态、无权限态与分页场景。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LTitle">
    <w:name w:val="TL Title"/>
    <w:pPr>
      <w:spacing w:after="120" w:line="300" w:lineRule="auto"/>
    </w:pPr>
    <w:rPr>
      <w:rFonts w:ascii="Microsoft YaHei" w:hAnsi="Microsoft YaHei" w:eastAsia="Microsoft YaHei"/>
      <w:b/>
      <w:color w:val="0F172A"/>
      <w:sz w:val="44"/>
    </w:rPr>
  </w:style>
  <w:style w:type="paragraph" w:customStyle="1" w:styleId="TLH1">
    <w:name w:val="TL H1"/>
    <w:pPr>
      <w:spacing w:after="120" w:line="300" w:lineRule="auto"/>
    </w:pPr>
    <w:rPr>
      <w:rFonts w:ascii="Microsoft YaHei" w:hAnsi="Microsoft YaHei" w:eastAsia="Microsoft YaHei"/>
      <w:b/>
      <w:color w:val="1D4ED8"/>
      <w:sz w:val="32"/>
    </w:rPr>
  </w:style>
  <w:style w:type="paragraph" w:customStyle="1" w:styleId="TLH2">
    <w:name w:val="TL H2"/>
    <w:pPr>
      <w:spacing w:after="120" w:line="300" w:lineRule="auto"/>
    </w:pPr>
    <w:rPr>
      <w:rFonts w:ascii="Microsoft YaHei" w:hAnsi="Microsoft YaHei" w:eastAsia="Microsoft YaHei"/>
      <w:b/>
      <w:color w:val="0F172A"/>
      <w:sz w:val="25"/>
    </w:rPr>
  </w:style>
  <w:style w:type="paragraph" w:customStyle="1" w:styleId="TLBody">
    <w:name w:val="TL Body"/>
    <w:pPr>
      <w:spacing w:after="120" w:line="300" w:lineRule="auto"/>
    </w:pPr>
    <w:rPr>
      <w:rFonts w:ascii="Microsoft YaHei" w:hAnsi="Microsoft YaHei" w:eastAsia="Microsoft YaHei"/>
      <w:b w:val="0"/>
      <w:color w:val="334155"/>
      <w:sz w:val="21"/>
    </w:rPr>
  </w:style>
  <w:style w:type="paragraph" w:customStyle="1" w:styleId="TLSmall">
    <w:name w:val="TL Small"/>
    <w:pPr>
      <w:spacing w:after="120" w:line="300" w:lineRule="auto"/>
    </w:pPr>
    <w:rPr>
      <w:rFonts w:ascii="Microsoft YaHei" w:hAnsi="Microsoft YaHei" w:eastAsia="Microsoft YaHei"/>
      <w:b w:val="0"/>
      <w:color w:val="64748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