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页面字段与状态冻结表</w:t>
      </w:r>
    </w:p>
    <w:p>
      <w:pPr>
        <w:pStyle w:val="SubtitleCustom"/>
      </w:pPr>
      <w:r>
        <w:rPr>
          <w:rFonts w:eastAsia="Noto Sans CJK SC" w:ascii="Noto Sans CJK SC" w:hAnsi="Noto Sans CJK SC"/>
        </w:rPr>
        <w:t>适用范围：学术人才子系统 MVP｜文档编号：26｜版本：V1.0</w:t>
      </w:r>
    </w:p>
    <w:p>
      <w:pPr>
        <w:pStyle w:val="SmallGrey"/>
      </w:pPr>
      <w:r>
        <w:rPr>
          <w:rFonts w:eastAsia="Noto Sans CJK SC" w:ascii="Noto Sans CJK SC" w:hAnsi="Noto Sans CJK SC"/>
        </w:rPr>
        <w:t>用于冻结首轮前端页面的字段口径、状态口径、页面跳转与组件映射，直接支撑 Claude Code 前端开发</w:t>
      </w:r>
    </w:p>
    <w:p>
      <w:pPr>
        <w:pBdr>
          <w:bottom w:val="single" w:sz="10" w:space="1" w:color="7FA5D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产品 / 前端 / 后端 / 测试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关联页面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首页、国家/学校目录、学校详情、人才详情、权限配置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编制日期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2026-03-18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06 需求规格、13 页面原型、18C/19B UI 刷新版、20/21 冻结单、25 首轮开发任务包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页面实现冻结文档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使用方式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字段未在本表冻结前，不得由前端或 Claude Code 自行猜测；状态口径以本表为准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文档目的与使用原则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本文件把“页面长什么样”进一步收束为“页面具体显示什么、字段来自哪里、为空时怎么展示、哪些状态必须有、怎样与权限规则保持一致”。它是 UI 说明与前后端联调之间的桥梁文件。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使用原则如下：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同一业务对象在不同页面的命名与显示口径应尽量一致，避免首页、学校页、详情页叫法不同。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字段若未准备好，不允许前端造字段或拼接临时文案，应按“待补充 / 数据准备中 / 暂无”规则展示。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所有页面都必须受学校范围权限约束；字段冻结不能绕开权限冻结。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本文件解决的不是视觉问题，而是“落地歧义”问题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它优先冻结字段、状态、跳转、组件，而不是继续讨论配色或装饰。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它默认首页搜索优先、学校为主导航粒度、教授偏卡片、学生偏表格。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页面图未覆盖的异常态、空态、无权限态，以本文件补齐。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页面清单与实现优先级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90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页面编号</w:t>
            </w:r>
          </w:p>
        </w:tc>
        <w:tc>
          <w:tcPr>
            <w:tcW w:type="dxa" w:w="192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页面名称</w:t>
            </w:r>
          </w:p>
        </w:tc>
        <w:tc>
          <w:tcPr>
            <w:tcW w:type="dxa" w:w="260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一期目标</w:t>
            </w:r>
          </w:p>
        </w:tc>
        <w:tc>
          <w:tcPr>
            <w:tcW w:type="dxa" w:w="79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优先级</w:t>
            </w:r>
          </w:p>
        </w:tc>
        <w:tc>
          <w:tcPr>
            <w:tcW w:type="dxa" w:w="283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实现说明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P01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首页总览与搜索入口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提供总览统计、全局搜索主入口、国家/学校浏览入口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首轮前端必须实现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P02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国家/学校目录页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支持按国家浏览学校并进入学校详情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可与首页目录区共用组件，但建议保留独立路由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P03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学校详情—教授视图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展示学校信息、教授人才卡片流、教授统计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教授以卡片为主，支持分页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P04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学校详情—学生视图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展示学校信息、学生表格、学生统计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学生以表格为主，支持分页与角色列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P05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人才详情页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展示人才画像、角色、方向、代表成果、基础关系摘要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第一轮不做复杂图谱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P06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权限配置页</w:t>
            </w:r>
          </w:p>
        </w:tc>
        <w:tc>
          <w:tcPr>
            <w:tcW w:type="dxa" w:w="26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管理员配置用户可见学校范围并立即生效</w:t>
            </w:r>
          </w:p>
        </w:tc>
        <w:tc>
          <w:tcPr>
            <w:tcW w:type="dxa" w:w="7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第一轮以表单+列表为主，不做复杂树控件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3. 页面字段冻结总原则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96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规则ID</w:t>
            </w:r>
          </w:p>
        </w:tc>
        <w:tc>
          <w:tcPr>
            <w:tcW w:type="dxa" w:w="737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冻结规则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F-01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字段命名优先使用 School / Talent / Role Profile / Stat Snapshot / Search Projection 等领域对象，不直接使用 OpenAlex 原始命名。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F-02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统计字段只使用当前生效版本的快照或统一查询结果，不由前端自行计算。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F-03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缺失字段需明确使用“待补充 / 暂无 / 数据准备中”三类文案之一，不得留空白。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F-04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学校范围权限先于字段显示规则生效；无权限时不讨论字段是否可见。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F-05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教授视图与学生视图可共享学校头部信息，但列表区组件必须分离。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P01 首页总览与搜索入口字段冻结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02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区块</w:t>
            </w:r>
          </w:p>
        </w:tc>
        <w:tc>
          <w:tcPr>
            <w:tcW w:type="dxa" w:w="164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字段/元素</w:t>
            </w:r>
          </w:p>
        </w:tc>
        <w:tc>
          <w:tcPr>
            <w:tcW w:type="dxa" w:w="192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来源对象</w:t>
            </w:r>
          </w:p>
        </w:tc>
        <w:tc>
          <w:tcPr>
            <w:tcW w:type="dxa" w:w="85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是否必显</w:t>
            </w:r>
          </w:p>
        </w:tc>
        <w:tc>
          <w:tcPr>
            <w:tcW w:type="dxa" w:w="198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为空/异常时展示</w:t>
            </w:r>
          </w:p>
        </w:tc>
        <w:tc>
          <w:tcPr>
            <w:tcW w:type="dxa" w:w="153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权限说明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页头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系统名称 / 页面标题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静态配置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不适用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无特殊权限限制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总览统计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已收录高校数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overview_stat_snapshot.school_count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仅统计当前用户可见学校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总览统计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教授人才数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overview_stat_snapshot.professor_count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仅统计当前用户可见学校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总览统计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学生人才数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overview_stat_snapshot.student_count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仅统计当前用户可见学校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总览统计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授权学校数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当前用户授权学校数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0 或未配置范围提示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严格按用户授权集合返回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搜索区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搜索输入框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search query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placeholder 提示输入姓名/学校/技术方向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仅能返回授权对象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搜索区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搜索按钮 / 回车触发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交互控件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不可点击态仅在输入为空时出现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无特殊权限限制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浏览区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国家/学校浏览入口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静态入口 + countries query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若无可见学校则展示无权限态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进入目录后仍按权限过滤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页脚提示</w:t>
            </w:r>
          </w:p>
        </w:tc>
        <w:tc>
          <w:tcPr>
            <w:tcW w:type="dxa" w:w="16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数据更新时间</w:t>
            </w:r>
          </w:p>
        </w:tc>
        <w:tc>
          <w:tcPr>
            <w:tcW w:type="dxa" w:w="19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overview_stat_snapshot.generated_at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暂不显示时间，仅提示数据准备中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基于当前生效版本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5. P02 国家/学校目录页字段冻结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07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区块</w:t>
            </w:r>
          </w:p>
        </w:tc>
        <w:tc>
          <w:tcPr>
            <w:tcW w:type="dxa" w:w="141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字段/元素</w:t>
            </w:r>
          </w:p>
        </w:tc>
        <w:tc>
          <w:tcPr>
            <w:tcW w:type="dxa" w:w="181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来源对象</w:t>
            </w:r>
          </w:p>
        </w:tc>
        <w:tc>
          <w:tcPr>
            <w:tcW w:type="dxa" w:w="85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是否必显</w:t>
            </w:r>
          </w:p>
        </w:tc>
        <w:tc>
          <w:tcPr>
            <w:tcW w:type="dxa" w:w="209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为空/异常时展示</w:t>
            </w:r>
          </w:p>
        </w:tc>
        <w:tc>
          <w:tcPr>
            <w:tcW w:type="dxa" w:w="153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筛选区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国家列表 / 国家标签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country directory query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无可见国家时显示无权限态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只显示当前用户有可见学校的国家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学校名称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school.name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不允许为空；异常数据需拦截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卡片一级标题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国家/地区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country.name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若缺失显示“国家待补充”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保持与学校详情头部一致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学校简介摘要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school.summary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信息待补充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限制为 2–3 行摘要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教授人数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school_stat_snapshot.professor_count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与学校详情页统计一致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学生人数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school_stat_snapshot.student_count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数据准备中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与学校详情页统计一致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学校卡片</w:t>
            </w:r>
          </w:p>
        </w:tc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进入学校页按钮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school.id route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按钮禁用仅用于异常数据，不用于权限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点击进入 P03/P04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P03/P04 学校详情页字段冻结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学校详情页的头部区块在教授视图与学生视图之间保持一致；列表区分别采用教授卡片流与学生表格。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07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区块</w:t>
            </w:r>
          </w:p>
        </w:tc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字段/元素</w:t>
            </w:r>
          </w:p>
        </w:tc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来源对象</w:t>
            </w:r>
          </w:p>
        </w:tc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教授视图</w:t>
            </w:r>
          </w:p>
        </w:tc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学生视图</w:t>
            </w:r>
          </w:p>
        </w:tc>
        <w:tc>
          <w:tcPr>
            <w:tcW w:type="dxa" w:w="170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为空/异常时展示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学校头部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学校名称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school.name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不允许为空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学校头部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国家/地区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country.name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国家待补充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学校头部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学校介绍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school.summary / intro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信息待补充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学校头部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教授人数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school_stat_snapshot.professor_count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数据准备中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学校头部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学生人数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school_stat_snapshot.student_count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数据准备中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视图切换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教授 / 学生 Tab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页面状态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当前选中教授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当前选中学生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不可缺失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教授列表区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人才姓名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talent.name + role_profile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无数据时空态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教授列表区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当前角色标签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role_profile.role_type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未知时显示待确认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教授列表区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研究方向标签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talent.research_tags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暂无方向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教授列表区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代表成果摘要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selected_work_summary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暂无代表成果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学生表格区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姓名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talent.name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无数据时空态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学生表格区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当前角色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role_profile.role_type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未知时显示待确认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学生表格区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研究方向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talent.research_tags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暂无方向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学生表格区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毕业状态/阶段提示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role_profile.stage_label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不显示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暂无阶段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分页区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分页器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page / total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显示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6"/>
              </w:rPr>
              <w:t>仅在超过一页时显示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7. P05 人才详情页字段冻结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02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区块</w:t>
            </w:r>
          </w:p>
        </w:tc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字段/元素</w:t>
            </w:r>
          </w:p>
        </w:tc>
        <w:tc>
          <w:tcPr>
            <w:tcW w:type="dxa" w:w="181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来源对象</w:t>
            </w:r>
          </w:p>
        </w:tc>
        <w:tc>
          <w:tcPr>
            <w:tcW w:type="dxa" w:w="85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是否必显</w:t>
            </w:r>
          </w:p>
        </w:tc>
        <w:tc>
          <w:tcPr>
            <w:tcW w:type="dxa" w:w="187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为空/异常时展示</w:t>
            </w:r>
          </w:p>
        </w:tc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顶部画像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姓名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talent.name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不允许为空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详情页主标题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顶部画像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当前角色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role_profile.role_type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待确认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使用统一标签组件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顶部画像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当前学校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school.name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学校待补充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支持跳回学校页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基础信息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国家/地区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country.name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国家待补充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与学校信息保持一致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基础信息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研究方向标签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talent.research_tags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暂无方向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最多显示 5–8 个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代表成果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代表成果摘要 / 列表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selected_work / summary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暂无代表成果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第一轮不做复杂排序交互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关系摘要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合作/关系摘要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relation_summary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可选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暂无关系摘要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第一轮仅文本摘要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数据说明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最近更新时间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talent.generated_at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87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不显示具体时间亦可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应与当前版本一致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8. P06 权限配置页字段冻结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02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区块</w:t>
            </w:r>
          </w:p>
        </w:tc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字段/元素</w:t>
            </w:r>
          </w:p>
        </w:tc>
        <w:tc>
          <w:tcPr>
            <w:tcW w:type="dxa" w:w="181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来源对象</w:t>
            </w:r>
          </w:p>
        </w:tc>
        <w:tc>
          <w:tcPr>
            <w:tcW w:type="dxa" w:w="85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是否必显</w:t>
            </w:r>
          </w:p>
        </w:tc>
        <w:tc>
          <w:tcPr>
            <w:tcW w:type="dxa" w:w="198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为空/异常时展示</w:t>
            </w:r>
          </w:p>
        </w:tc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用户标识 / 用户名 / 邮箱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iam_user_account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不允许为空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管理员用于识别配置对象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授权区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已授权学校列表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iam_user_school_scope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暂无授权学校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支持新增/移除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授权区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学校搜索/选择器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 directory query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无匹配学校时空态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仅管理员可用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操作区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保存按钮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交互控件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处理中状态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保存后应即时生效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反馈区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保存成功/失败提示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接口返回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统一错误提示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失败时需保留已选内容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审计区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最近一次修改摘要</w:t>
            </w:r>
          </w:p>
        </w:tc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audit_operation_log</w:t>
            </w:r>
          </w:p>
        </w:tc>
        <w:tc>
          <w:tcPr>
            <w:tcW w:type="dxa" w:w="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建议显示</w:t>
            </w:r>
          </w:p>
        </w:tc>
        <w:tc>
          <w:tcPr>
            <w:tcW w:type="dxa" w:w="19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暂无记录</w:t>
            </w:r>
          </w:p>
        </w:tc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第一轮可用简化展示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页面状态冻结表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24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状态</w:t>
            </w:r>
          </w:p>
        </w:tc>
        <w:tc>
          <w:tcPr>
            <w:tcW w:type="dxa" w:w="215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适用页面</w:t>
            </w:r>
          </w:p>
        </w:tc>
        <w:tc>
          <w:tcPr>
            <w:tcW w:type="dxa" w:w="226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触发条件</w:t>
            </w:r>
          </w:p>
        </w:tc>
        <w:tc>
          <w:tcPr>
            <w:tcW w:type="dxa" w:w="289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展示原则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Loading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全部主页面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接口初次加载 / 切换分页 / 切换视图</w:t>
            </w:r>
          </w:p>
        </w:tc>
        <w:tc>
          <w:tcPr>
            <w:tcW w:type="dxa" w:w="28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提供明确骨架屏或占位，不出现大面积空白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Empty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搜索、目录、学校列表、人才列表、权限配置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当前条件下无结果</w:t>
            </w:r>
          </w:p>
        </w:tc>
        <w:tc>
          <w:tcPr>
            <w:tcW w:type="dxa" w:w="28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保留用户当前筛选/输入条件，并给出下一步引导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No Permission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首页、目录、学校页、详情、权限配置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当前用户无学校范围或无管理员权限</w:t>
            </w:r>
          </w:p>
        </w:tc>
        <w:tc>
          <w:tcPr>
            <w:tcW w:type="dxa" w:w="28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明确提示原因，不展示误导性 0 统计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Error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全部主页面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接口失败、网络错误、内部异常</w:t>
            </w:r>
          </w:p>
        </w:tc>
        <w:tc>
          <w:tcPr>
            <w:tcW w:type="dxa" w:w="28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显示统一错误反馈，允许重试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Data Preparing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首页、目录、学校页、详情部分字段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快照或对象构建尚未完成</w:t>
            </w:r>
          </w:p>
        </w:tc>
        <w:tc>
          <w:tcPr>
            <w:tcW w:type="dxa" w:w="28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明确提示“数据准备中”，而不是假装为 0 或空白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10. 页面跳转与组件映射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24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来源页面</w:t>
            </w:r>
          </w:p>
        </w:tc>
        <w:tc>
          <w:tcPr>
            <w:tcW w:type="dxa" w:w="175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动作</w:t>
            </w:r>
          </w:p>
        </w:tc>
        <w:tc>
          <w:tcPr>
            <w:tcW w:type="dxa" w:w="175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目标页面</w:t>
            </w:r>
          </w:p>
        </w:tc>
        <w:tc>
          <w:tcPr>
            <w:tcW w:type="dxa" w:w="379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P01 首页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点击国家/学校浏览入口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P02 国家/学校目录</w:t>
            </w:r>
          </w:p>
        </w:tc>
        <w:tc>
          <w:tcPr>
            <w:tcW w:type="dxa" w:w="37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从搜索主入口切入浏览主路径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P02 目录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点击学校卡片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P03/P04 学校详情</w:t>
            </w:r>
          </w:p>
        </w:tc>
        <w:tc>
          <w:tcPr>
            <w:tcW w:type="dxa" w:w="37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默认进入教授视图，用户可切换学生视图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P03/P04 学校详情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点击人才卡片/姓名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P05 人才详情</w:t>
            </w:r>
          </w:p>
        </w:tc>
        <w:tc>
          <w:tcPr>
            <w:tcW w:type="dxa" w:w="37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详情页仍需再次做权限校验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P01/P02/P03/P04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管理员进入权限配置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P06 权限配置</w:t>
            </w:r>
          </w:p>
        </w:tc>
        <w:tc>
          <w:tcPr>
            <w:tcW w:type="dxa" w:w="37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建议在管理入口或用户菜单中暴露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P06 权限配置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保存后返回或刷新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原页面 / 当前页</w:t>
            </w:r>
          </w:p>
        </w:tc>
        <w:tc>
          <w:tcPr>
            <w:tcW w:type="dxa" w:w="379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保存成功后用户视角应即时生效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81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组件名</w:t>
            </w:r>
          </w:p>
        </w:tc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优先服务页面</w:t>
            </w:r>
          </w:p>
        </w:tc>
        <w:tc>
          <w:tcPr>
            <w:tcW w:type="dxa" w:w="249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建议输入</w:t>
            </w:r>
          </w:p>
        </w:tc>
        <w:tc>
          <w:tcPr>
            <w:tcW w:type="dxa" w:w="266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冻结说明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OverviewStatCard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P01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title / value / subText / state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统一承接首页统计卡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GlobalSearchBar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P01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query / onSearch / placeholder / state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统一承接全局搜索入口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SchoolCard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P02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 summary DTO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统一学校目录卡片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ProfessorTalentCard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P03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 card DTO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统一教授卡片视图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StudentTalentTable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P04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table rows / columns / pagination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统一学生表格视图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TalentProfilePanel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P05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talent detail DTO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统一详情页分区容器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SchoolScopeSelector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P06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selected schools / search result / onChange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统一学校授权选择器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PageStateView</w:t>
            </w:r>
          </w:p>
        </w:tc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全部主页面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type / title / desc / action</w:t>
            </w:r>
          </w:p>
        </w:tc>
        <w:tc>
          <w:tcPr>
            <w:tcW w:type="dxa" w:w="266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 loading/empty/error/no-permission/data-preparing 状态组件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11. 结论与执行要求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自本文件生效起，页面字段、状态与跳转应以本表为统一口径。若后续发现字段需要增删，必须先更新本文件或形成补充单，再同步到接口、前端和测试用例中；不允许 Claude Code 或人工在未冻结情况下自行扩写页面字段。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智能人才库项目｜页面字段与状态冻结表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40"/>
      <w:jc w:val="center"/>
    </w:pPr>
    <w:rPr>
      <w:rFonts w:ascii="Noto Sans CJK SC" w:hAnsi="Noto Sans CJK SC" w:eastAsia="Noto Sans CJK SC"/>
      <w:b/>
      <w:color w:val="2A2A2A"/>
      <w:sz w:val="40"/>
    </w:rPr>
  </w:style>
  <w:style w:type="paragraph" w:customStyle="1" w:styleId="SubtitleCustom">
    <w:name w:val="Subtitle Custom"/>
    <w:pPr>
      <w:spacing w:after="200"/>
      <w:jc w:val="center"/>
    </w:pPr>
    <w:rPr>
      <w:rFonts w:ascii="Noto Sans CJK SC" w:hAnsi="Noto Sans CJK SC" w:eastAsia="Noto Sans CJK SC"/>
      <w:color w:val="666666"/>
      <w:sz w:val="18"/>
    </w:rPr>
  </w:style>
  <w:style w:type="paragraph" w:customStyle="1" w:styleId="SmallGrey">
    <w:name w:val="Small Grey"/>
    <w:pPr>
      <w:jc w:val="center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