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40" w:lineRule="auto"/>
        <w:jc w:val="center"/>
      </w:pPr>
      <w:r>
        <w:rPr>
          <w:rFonts w:ascii="Noto Sans CJK SC" w:hAnsi="Noto Sans CJK SC" w:eastAsia="Noto Sans CJK SC" w:cs="Noto Sans CJK SC"/>
          <w:b/>
          <w:color w:val="486581"/>
          <w:sz w:val="22"/>
        </w:rPr>
        <w:t>智能人才库项目</w:t>
      </w:r>
    </w:p>
    <w:p>
      <w:pPr>
        <w:pStyle w:val="Title"/>
        <w:spacing w:before="0" w:after="60" w:line="240" w:lineRule="auto"/>
        <w:jc w:val="center"/>
      </w:pPr>
      <w:r>
        <w:rPr>
          <w:rFonts w:ascii="Noto Sans CJK SC" w:hAnsi="Noto Sans CJK SC" w:eastAsia="Noto Sans CJK SC" w:cs="Noto Sans CJK SC"/>
          <w:b/>
          <w:sz w:val="40"/>
        </w:rPr>
        <w:t>技术栈冻结单</w:t>
      </w:r>
    </w:p>
    <w:p>
      <w:pPr>
        <w:spacing w:before="0" w:after="320" w:line="240" w:lineRule="auto"/>
        <w:jc w:val="center"/>
      </w:pPr>
      <w:r>
        <w:rPr>
          <w:rFonts w:ascii="Noto Sans CJK SC" w:hAnsi="Noto Sans CJK SC" w:eastAsia="Noto Sans CJK SC" w:cs="Noto Sans CJK SC"/>
          <w:color w:val="627D98"/>
          <w:sz w:val="21"/>
        </w:rPr>
        <w:t>（学术人才子系统 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文档编号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20</w:t>
            </w:r>
          </w:p>
        </w:tc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版本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V1.0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阶段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开发准备</w:t>
            </w:r>
          </w:p>
        </w:tc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编制日期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2026-03-18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适用范围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学术人才子系统 MVP</w:t>
            </w:r>
          </w:p>
        </w:tc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适用对象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项目 Owner / 开发 / 测试 / AI 协同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文档状态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冻结基线（首版）</w:t>
            </w:r>
          </w:p>
        </w:tc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管理方式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变更需由项目 Owner 批准</w:t>
            </w:r>
          </w:p>
        </w:tc>
      </w:tr>
    </w:tbl>
    <w:p/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1. 文档目的与适用范围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本文件用于把现有方案设计中的技术建议收束为</w:t>
      </w:r>
      <w:r>
        <w:rPr>
          <w:rFonts w:ascii="Noto Sans CJK SC" w:hAnsi="Noto Sans CJK SC" w:eastAsia="Noto Sans CJK SC" w:cs="Noto Sans CJK SC"/>
          <w:b/>
          <w:sz w:val="21"/>
        </w:rPr>
        <w:t>第一轮开发必须遵守的实现基线</w:t>
      </w:r>
      <w:r>
        <w:rPr>
          <w:rFonts w:ascii="Noto Sans CJK SC" w:hAnsi="Noto Sans CJK SC" w:eastAsia="Noto Sans CJK SC" w:cs="Noto Sans CJK SC"/>
          <w:sz w:val="21"/>
        </w:rPr>
        <w:t>，作为 Claude Code 协同开发、技术评审、开发准备和阶段验收的正式依据。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适用范围限定为第一阶段</w:t>
      </w:r>
      <w:r>
        <w:rPr>
          <w:rFonts w:ascii="Noto Sans CJK SC" w:hAnsi="Noto Sans CJK SC" w:eastAsia="Noto Sans CJK SC" w:cs="Noto Sans CJK SC"/>
          <w:b/>
          <w:sz w:val="21"/>
        </w:rPr>
        <w:t>学术人才子系统 MVP</w:t>
      </w:r>
      <w:r>
        <w:rPr>
          <w:rFonts w:ascii="Noto Sans CJK SC" w:hAnsi="Noto Sans CJK SC" w:eastAsia="Noto Sans CJK SC" w:cs="Noto Sans CJK SC"/>
          <w:sz w:val="21"/>
        </w:rPr>
        <w:t>；目标是在满足“内部试用但按正式系统标准要求”的前提下，形成足够稳定、可执行、可审查的技术选型基线。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6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21"/>
              </w:rPr>
              <w:t>冻结原则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优先保证 MVP 快速落地与工程可控，不为未来可能需求预先引入重型技术。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业务模型与 OpenAlex Source Layer 解耦，避免前台直接依赖外部原始对象。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选择对单人 + Claude Code 协同开发友好的技术路线。</w:t>
            </w:r>
          </w:p>
        </w:tc>
      </w:tr>
    </w:tbl>
    <w:p/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2. 总体架构冻结结论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第一阶段冻结为</w:t>
      </w:r>
      <w:r>
        <w:rPr>
          <w:rFonts w:ascii="Noto Sans CJK SC" w:hAnsi="Noto Sans CJK SC" w:eastAsia="Noto Sans CJK SC" w:cs="Noto Sans CJK SC"/>
          <w:b/>
          <w:sz w:val="21"/>
        </w:rPr>
        <w:t>模块化单体架构</w:t>
      </w:r>
      <w:r>
        <w:rPr>
          <w:rFonts w:ascii="Noto Sans CJK SC" w:hAnsi="Noto Sans CJK SC" w:eastAsia="Noto Sans CJK SC" w:cs="Noto Sans CJK SC"/>
          <w:sz w:val="21"/>
        </w:rPr>
        <w:t>，逻辑上划分 Frontend Web、Backend API、Sync / Build Worker、Database 四个核心单元；缓存、对象存储作为可选增强能力预留。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本阶段</w:t>
      </w:r>
      <w:r>
        <w:rPr>
          <w:rFonts w:ascii="Noto Sans CJK SC" w:hAnsi="Noto Sans CJK SC" w:eastAsia="Noto Sans CJK SC" w:cs="Noto Sans CJK SC"/>
          <w:b/>
          <w:sz w:val="21"/>
        </w:rPr>
        <w:t>不做微服务拆分</w:t>
      </w:r>
      <w:r>
        <w:rPr>
          <w:rFonts w:ascii="Noto Sans CJK SC" w:hAnsi="Noto Sans CJK SC" w:eastAsia="Noto Sans CJK SC" w:cs="Noto Sans CJK SC"/>
          <w:sz w:val="21"/>
        </w:rPr>
        <w:t>、不引入复杂基础设施编排。同步任务、统计任务与应用查询路径保持解耦，但物理部署仍以轻量方式落地。</w:t>
      </w:r>
    </w:p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3. 技术栈冻结清单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层面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冻结方案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执行说明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后端语言与框架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Python 3.11 + FastAPI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后端统一采用 Python 技术栈；接口层基于 FastAPI 实现，便于数据处理、接口快速迭代与 AI 协同开发。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ORM 与迁移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SQLAlchemy 2.x + Alembic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领域模型与数据库迁移统一采用 SQLAlchemy / Alembic；禁止跳过 migration 直接手改表结构。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DTO / 校验 / 测试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Pydantic v2 + pytest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接口输入输出、配置对象与领域 DTO 使用 Pydantic 定义；单元与基础集成测试统一采用 pytest。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前端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React 18 + TypeScript + Vite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前端统一采用 React + TypeScript；以 Vite 作为构建与本地开发基线。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UI 组件体系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Ant Design v5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列表、表格、分页、Tabs、表单、权限页优先采用 Ant Design 官方组件，不自造大批基础组件。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前端状态与请求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React Router + TanStack Query + Zustand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页面路由、查询缓存和轻量状态管理分别按上述方案落地，避免为 MVP 引入重型前端状态体系。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主数据存储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PostgreSQL 16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业务主库、权限映射、统计快照、管理数据与搜索投影表统一落 PostgreSQL。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搜索能力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PostgreSQL 全文检索 / 搜索投影表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第一阶段不引入 OpenSearch；搜索命中、排序、分页先在 PostgreSQL 能力范围内实现。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任务运行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CLI 手工触发 + APScheduler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同步任务与对象构建任务分离；第一轮先支持 CLI 与轻量定时触发，不引入 Celery / MQ。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日志与配置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结构化日志 + .env.example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关键请求、批次、审计日志必须结构化；环境变量统一通过示例文件与脚本说明管理。</w:t>
            </w:r>
          </w:p>
        </w:tc>
      </w:tr>
      <w:tr>
        <w:trPr>
          <w:trHeight w:hRule="atLeast"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本地开发与部署</w:t>
            </w:r>
          </w:p>
        </w:tc>
        <w:tc>
          <w:tcPr>
            <w:tcW w:type="dxa" w:w="30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Docker Compose + DEV / TEST(UAT) / PROD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本地以 Docker Compose 承接 PostgreSQL，前后端可直跑；环境按 DEV、TEST(UAT)、PROD 三套管理。</w:t>
            </w:r>
          </w:p>
        </w:tc>
      </w:tr>
    </w:tbl>
    <w:p/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4. 目录结构与实现约束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为适配任务包开发与 AI 协同，项目目录应保持明确分层。建议根目录至少包含 /docs、/backend、/frontend、/scripts、/deploy 五类主目录。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后端建议进一步划分 api、core、models、schemas、services、repositories、tasks、builders、permissions、audit、search、stats 等模块；前端建议划分 pages、components、features、services、hooks、store、types、layouts、utils 等目录。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21"/>
              </w:rPr>
              <w:t>实现约束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不允许把 OpenAlex 原始字段直接暴露给前端页面，前台统一通过领域 DTO 输出。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同步任务与对象构建任务必须分离，前台只读取 current_active_version 对应数据版本。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权限控制必须在服务端统一生效，不接受仅在前端隐藏入口的实现。</w:t>
            </w:r>
          </w:p>
        </w:tc>
      </w:tr>
    </w:tbl>
    <w:p/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5. 本阶段明确不采用的技术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第一轮明确不采用：微服务拆分、Kubernetes 级部署、OpenSearch、GraphQL、Redux 重型体系、Celery / RabbitMQ / Kafka、复杂图谱可视化框架。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上述技术并非永久排除，而是基于当前 MVP 范围、单人开发节奏和阶段目标，暂不作为开发启动前置条件。</w:t>
      </w:r>
    </w:p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6. 变更控制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本文件发布后，技术栈的新增、替换或升级，如涉及数据库类型、后端框架、前端组件体系、搜索引擎、任务调度机制等关键基线，均须由项目 Owner 审核后方可变更。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所有非紧急新技术引入默认进入 backlog 或后续阶段评审，不得由 Claude Code 在开发过程中自行扩展。</w:t>
      </w:r>
    </w:p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7. 结论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第一阶段学术人才子系统 MVP 技术栈正式冻结为：</w:t>
      </w:r>
      <w:r>
        <w:rPr>
          <w:rFonts w:ascii="Noto Sans CJK SC" w:hAnsi="Noto Sans CJK SC" w:eastAsia="Noto Sans CJK SC" w:cs="Noto Sans CJK SC"/>
          <w:b/>
          <w:sz w:val="21"/>
        </w:rPr>
        <w:t>Python 3.11 + FastAPI + SQLAlchemy + Alembic + PostgreSQL + React 18 + TypeScript + Vite + Ant Design v5</w:t>
      </w:r>
      <w:r>
        <w:rPr>
          <w:rFonts w:ascii="Noto Sans CJK SC" w:hAnsi="Noto Sans CJK SC" w:eastAsia="Noto Sans CJK SC" w:cs="Noto Sans CJK SC"/>
          <w:sz w:val="21"/>
        </w:rPr>
        <w:t>。搜索能力第一阶段采用 PostgreSQL 全文检索与搜索投影表实现；Redis、OpenSearch 与分布式任务队列均不作为首轮上线前置条件。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本冻结结论自发布之日起，作为工程开发准备、Claude Code 首轮执行与技术评审的正式约束依据。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787878"/>
        <w:sz w:val="16"/>
      </w:rPr>
      <w:t>内部项目文档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46E78"/>
        <w:sz w:val="17"/>
      </w:rPr>
      <w:t>智能人才库项目｜技术栈冻结单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E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8658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3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