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项目目录结构方案</w:t>
      </w:r>
    </w:p>
    <w:p>
      <w:pPr>
        <w:pStyle w:val="SubtitleCustom"/>
      </w:pPr>
      <w:r>
        <w:rPr>
          <w:rFonts w:eastAsia="Noto Sans CJK SC" w:ascii="Noto Sans CJK SC" w:hAnsi="Noto Sans CJK SC"/>
        </w:rPr>
        <w:t>（学术人才子系统 MVP）</w:t>
      </w:r>
    </w:p>
    <w:p>
      <w:pPr>
        <w:jc w:val="center"/>
        <w:pBdr>
          <w:bottom w:val="single" w:sz="10" w:space="1" w:color="7EA6D8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文档编号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22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版本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V1.0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阶段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开发准备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编制日期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2026-03-18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适用范围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学术人才子系统 MVP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开发 / 测试 / AI 协同开发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执行基线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 技术栈冻结单；21 规则冻结单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文档目的与适用范围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本文档用于冻结学术人才子系统 MVP 的项目目录结构与代码组织方式，作为 Claude Code 首轮开发、人工 review、测试接手和后续增量迭代的统一基线。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本方案以“模块化单体 + 前后端分层 + 同步与对象构建分离”为前提，目标是提高可维护性，避免第一阶段因目录失控而导致模块职责混乱、字段漂移和重复实现。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9DF"/>
          <w:left w:val="single" w:sz="8" w:space="0" w:color="B7C9DF"/>
          <w:bottom w:val="single" w:sz="8" w:space="0" w:color="B7C9DF"/>
          <w:right w:val="single" w:sz="8" w:space="0" w:color="B7C9DF"/>
          <w:insideH w:val="single" w:sz="8" w:space="0" w:color="B7C9DF"/>
          <w:insideV w:val="single" w:sz="8" w:space="0" w:color="B7C9DF"/>
        </w:tblBorders>
      </w:tblPr>
      <w:tblGrid>
        <w:gridCol w:w="9858"/>
      </w:tblGrid>
      <w:tr>
        <w:tc>
          <w:tcPr>
            <w:tcW w:type="dxa" w:w="9858"/>
            <w:tcMar>
              <w:top w:w="110" w:type="dxa"/>
              <w:start w:w="150" w:type="dxa"/>
              <w:bottom w:w="110" w:type="dxa"/>
              <w:end w:w="150" w:type="dxa"/>
            </w:tcMar>
            <w:shd w:fill="EEF3F8"/>
            <w:vAlign w:val="center"/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目录结构冻结原则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目录首先服务于交付效率和边界清晰，而不是追求过度架构设计。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前端、后端、脚本、部署、文档、测试必须各有明确归属。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OpenAlex 原始对象不得直接穿透到前台页面或页面 DTO。</w:t>
            </w:r>
          </w:p>
          <w:p>
            <w:pPr>
              <w:spacing w:after="40"/>
              <w:ind w:left="255" w:hanging="159"/>
            </w:pPr>
            <w:r>
              <w:rPr>
                <w:rFonts w:eastAsia="Noto Sans CJK SC" w:ascii="Noto Sans CJK SC" w:hAnsi="Noto Sans CJK SC"/>
                <w:sz w:val="19"/>
              </w:rPr>
              <w:t>• 权限、搜索、统计、构建必须有清晰落点，不得散落在多个无序目录中。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总体结构方案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第一阶段建议采用单仓库管理（monorepo）方式，以减少单人协同开发时的切换成本，便于在同一版本中同时管理接口契约、数据库 migration、前端页面和脚本工具。若后续组织方式调整，也应尽量保持根目录层级不变。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2E2"/>
          <w:left w:val="single" w:sz="8" w:space="0" w:color="C7D2E2"/>
          <w:bottom w:val="single" w:sz="8" w:space="0" w:color="C7D2E2"/>
          <w:right w:val="single" w:sz="8" w:space="0" w:color="C7D2E2"/>
          <w:insideH w:val="single" w:sz="8" w:space="0" w:color="C7D2E2"/>
          <w:insideV w:val="single" w:sz="8" w:space="0" w:color="C7D2E2"/>
        </w:tblBorders>
      </w:tblPr>
      <w:tblGrid>
        <w:gridCol w:w="9858"/>
      </w:tblGrid>
      <w:tr>
        <w:tc>
          <w:tcPr>
            <w:tcW w:type="dxa" w:w="9858"/>
            <w:tcMar>
              <w:top w:w="120" w:type="dxa"/>
              <w:start w:w="120" w:type="dxa"/>
              <w:bottom w:w="120" w:type="dxa"/>
              <w:end w:w="12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Liberation Mono" w:hAnsi="Liberation Mono" w:eastAsia="Liberation Mono"/>
                <w:sz w:val="17"/>
              </w:rPr>
              <w:t>/docs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/backend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/app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/migrations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/scripts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/tests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/frontend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/src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/public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/deploy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/scripts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/data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/seed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/samples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>/outputs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/exports</w:t>
            </w:r>
          </w:p>
          <w:p>
            <w:pPr>
              <w:spacing w:after="0" w:line="264" w:lineRule="auto"/>
            </w:pPr>
            <w:r>
              <w:rPr>
                <w:rFonts w:ascii="Liberation Mono" w:hAnsi="Liberation Mono" w:eastAsia="Liberation Mono"/>
                <w:sz w:val="17"/>
              </w:rPr>
              <w:t xml:space="preserve">  /logs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3. 根目录分区与职责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47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目录</w:t>
            </w:r>
          </w:p>
        </w:tc>
        <w:tc>
          <w:tcPr>
            <w:tcW w:type="dxa" w:w="527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职责说明</w:t>
            </w:r>
          </w:p>
        </w:tc>
        <w:tc>
          <w:tcPr>
            <w:tcW w:type="dxa" w:w="181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一期要求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/docs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项目文档、冻结单、任务包、验收材料统一归档位置。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必备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后端 API、领域模型、同步/构建任务、数据访问层与测试。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必备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/frontend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前端页面、组件、接口调用、状态管理与页面测试。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必备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/deploy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Docker Compose、环境配置模板、部署脚本与运行说明。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必备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/scripts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跨端脚本、初始化脚本、数据处理辅助脚本。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建议一期即建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/data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本地样本、seed、调试数据，不存放正式业务代码。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建议一期即建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/outputs</w:t>
            </w:r>
          </w:p>
        </w:tc>
        <w:tc>
          <w:tcPr>
            <w:tcW w:type="dxa" w:w="5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导出文件、运行日志、临时验收输出，便于隔离业务代码。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可选但推荐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后端目录结构与模块职责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后端目录结构应围绕“接口层、领域层、数据访问层、任务层、横切能力层”展开，避免出现一个 services 目录内堆满全部实现逻辑的情况。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81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后端目录</w:t>
            </w:r>
          </w:p>
        </w:tc>
        <w:tc>
          <w:tcPr>
            <w:tcW w:type="dxa" w:w="357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主要职责</w:t>
            </w:r>
          </w:p>
        </w:tc>
        <w:tc>
          <w:tcPr>
            <w:tcW w:type="dxa" w:w="3175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边界约束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app/api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HTTP 路由、请求入参/出参、错误码映射。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不直接操作 ORM，不写复杂业务规则。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app/schemas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Pydantic DTO、请求响应模型、校验对象。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只承接接口契约与数据转换，不写查询逻辑。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app/models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SQLAlchemy 模型定义。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只定义持久化结构，不承载展示逻辑。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app/repositories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数据库读写、基础查询封装。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不混入权限判断和页面拼装。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app/services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应用服务层，组织查询、权限、排序、DTO 组装。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对外提供明确服务接口。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app/tasks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批次同步任务、调度入口、命令入口。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只做任务编排，不承载复杂对象构建细节。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app/builders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school/talent/role/stat/search projection 构建逻辑。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必须支持批次化构建与版本切换。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app/permissions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学校范围权限校验、可见性过滤。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统一由服务端调用，不得前端代替。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app/search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搜索投影、全文检索适配、搜索结果拼装。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与前端搜索页解耦，面向应用服务暴露。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app/stats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首页和学校页统计快照的计算与读取。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优先快照，不做页面实时全表聚合。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app/audit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操作日志、任务日志、审计记录。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记录批次、范围、结果，不写业务判断。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migrations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Alembic 迁移脚本。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所有表结构变更必须经 migration 管理。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tests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单元测试、服务测试、接口 smoke test。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测试目录按模块拆分，不混成单文件大仓。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5. 前端目录结构与模块职责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前端目录应围绕页面、通用组件、业务特性、接口服务和类型定义拆分。首页、学校详情、人才详情、权限配置等页面都应通过统一的 features 和 services 访问后端，而非在页面文件中直接堆砌请求和状态逻辑。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70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前端目录</w:t>
            </w:r>
          </w:p>
        </w:tc>
        <w:tc>
          <w:tcPr>
            <w:tcW w:type="dxa" w:w="374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主要职责</w:t>
            </w:r>
          </w:p>
        </w:tc>
        <w:tc>
          <w:tcPr>
            <w:tcW w:type="dxa" w:w="311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实现要求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src/pages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页面级入口，如首页、学校页、人才详情、权限配置页。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页面文件只负责拼装视图，不承接复杂数据逻辑。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src/components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跨页面复用组件，如统计卡、学校卡、教授卡、状态标签。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组件应尽量纯展示，复用率优先。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src/features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按业务域封装的 UI + hooks + service adapter。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搜索、学校浏览、人才详情、权限管理各自成块。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src/services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接口调用、请求封装、错误映射。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统一处理请求头、错误码和鉴权信息。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src/hooks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通用 hooks 与局部复用逻辑。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避免页面内部重复造轮子。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src/store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Zustand 全局轻量状态。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只存放必要全局状态，不把页面局部态全搬进 store。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src/types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前端类型定义、接口 DTO 类型别名。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与后端 DTO 对齐，严禁随意手写漂移字段。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src/layouts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整体壳层布局、导航、容器。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与页面视图分离，便于后续扩展。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src/utils</w:t>
            </w:r>
          </w:p>
        </w:tc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工具函数、格式化逻辑、常量。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7"/>
              </w:rPr>
              <w:t>不得混入业务查询和页面流程控制。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配置、脚本与环境文件组织要求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为保证单人 + Claude Code 协同开发的可复现性，必须统一环境文件、脚本入口和运行方式。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170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对象</w:t>
            </w:r>
          </w:p>
        </w:tc>
        <w:tc>
          <w:tcPr>
            <w:tcW w:type="dxa" w:w="2835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建议位置</w:t>
            </w:r>
          </w:p>
        </w:tc>
        <w:tc>
          <w:tcPr>
            <w:tcW w:type="dxa" w:w="3969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环境变量模板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backend/.env.example、frontend/.env.example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必须包含最小运行项，禁止把真实密钥提交入仓。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本地运行脚本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根目录 Makefile 或 scripts/ 下统一入口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需覆盖 install、dev、test、migrate、seed、sync、build。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Docker Compose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deploy/docker-compose.yml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至少支撑 PostgreSQL 本地联调。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批次命令脚本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backend/scripts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需提供同步、构建、版本切换的可执行入口。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Seed 数据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data/seed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仅存初始化样本和最小演示数据。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验收输出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outputs/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导出、日志、临时验收结果统一沉淀，避免污染代码目录。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7. 命名规范与边界约束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目录和文件命名统一使用小写加中划线或下划线；数据库 migration、脚本、批次任务、页面组件均应使用可读名称，不允许出现 temp、new2、final-final 之类非正式命名。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后端接口返回对象一律通过 schemas 或 DTO 层输出；前端页面一律通过 services 或 features 访问后端；任何页面不得直接依赖 OpenAlex 原始字段。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权限过滤、统计口径、版本切换属于平台级横切能力，必须落在后端统一模块中，不允许为了“页面快做完”而将这些逻辑临时写入页面文件、路由函数或单次脚本。</w:t>
      </w:r>
    </w:p>
    <w:p>
      <w:pPr>
        <w:pStyle w:val="Heading1"/>
      </w:pPr>
      <w:r>
        <w:rPr>
          <w:rFonts w:eastAsia="Noto Sans CJK SC" w:ascii="Noto Sans CJK SC" w:hAnsi="Noto Sans CJK SC"/>
        </w:rPr>
        <w:t>8. 第一轮初始化目录清单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86"/>
        <w:gridCol w:w="3286"/>
        <w:gridCol w:w="3286"/>
      </w:tblGrid>
      <w:tr>
        <w:tc>
          <w:tcPr>
            <w:tcW w:type="dxa" w:w="238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任务项</w:t>
            </w:r>
          </w:p>
        </w:tc>
        <w:tc>
          <w:tcPr>
            <w:tcW w:type="dxa" w:w="4252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目录落点</w:t>
            </w:r>
          </w:p>
        </w:tc>
        <w:tc>
          <w:tcPr>
            <w:tcW w:type="dxa" w:w="215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是否第一轮必须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工程骨架初始化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/backend、/frontend、/deploy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Alembic migration 与 seed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/backend/migrations、/data/seed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OpenAlex connector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/backend/app/tasks 或 /backend/app/services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对象构建 builder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/backend/app/builders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权限模块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/backend/app/permissions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搜索投影模块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/backend/app/search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首页/学校页前端壳层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/frontend/src/pages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可在第二轮进入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统一组件库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/frontend/src/components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建议第一轮先起骨架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D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标准脚本入口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/scripts 或根目录 Makefile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eastAsia="Noto Sans CJK SC" w:ascii="Noto Sans CJK SC" w:hAnsi="Noto Sans CJK SC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变更控制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本目录结构方案作为开发准备阶段的正式基线生效。后续若出现新增服务单元、引入缓存、接入对象存储、增加独立导出服务等变化，应先经项目 Owner 评估，再统一修改本文件与相关冻结单，不得由开发过程自行漂移。</w:t>
      </w:r>
    </w:p>
    <w:p>
      <w:pPr>
        <w:spacing w:line="324" w:lineRule="auto" w:after="80"/>
      </w:pPr>
      <w:r>
        <w:rPr>
          <w:rFonts w:eastAsia="Noto Sans CJK SC" w:ascii="Noto Sans CJK SC" w:hAnsi="Noto Sans CJK SC"/>
        </w:rPr>
        <w:t>原则上，第一阶段只允许在既有结构下做增量扩展，不允许因为单次实现便利而推翻已有目录边界。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智能人才库项目｜项目目录结构方案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80"/>
      <w:jc w:val="center"/>
    </w:pPr>
    <w:rPr>
      <w:rFonts w:ascii="Noto Sans CJK SC" w:hAnsi="Noto Sans CJK SC" w:eastAsia="Noto Sans CJK SC"/>
      <w:b/>
      <w:color w:val="2B2B2B"/>
      <w:sz w:val="40"/>
    </w:rPr>
  </w:style>
  <w:style w:type="paragraph" w:customStyle="1" w:styleId="SubtitleCustom">
    <w:name w:val="Subtitle Custom"/>
    <w:pPr>
      <w:spacing w:after="200"/>
      <w:jc w:val="center"/>
    </w:pPr>
    <w:rPr>
      <w:rFonts w:ascii="Noto Sans CJK SC" w:hAnsi="Noto Sans CJK SC" w:eastAsia="Noto Sans CJK SC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