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left"/>
      </w:pPr>
      <w:r>
        <w:rPr>
          <w:rFonts w:eastAsia="Noto Sans CJK SC" w:ascii="Noto Sans CJK SC" w:hAnsi="Noto Sans CJK SC"/>
        </w:rPr>
        <w:t>28 智能人才库项目接口字段映射与前后端 DTO 清单（学术人才子系统 MVP）</w:t>
      </w:r>
    </w:p>
    <w:p>
      <w:pPr>
        <w:pStyle w:val="SubTitleCN"/>
      </w:pPr>
      <w:r>
        <w:rPr>
          <w:rFonts w:eastAsia="Noto Sans CJK SC" w:ascii="Noto Sans CJK SC" w:hAnsi="Noto Sans CJK SC"/>
        </w:rPr>
        <w:t>文档编号：28    版本：V1.0    状态：执行基线</w:t>
      </w:r>
      <w:r>
        <w:rPr>
          <w:rFonts w:eastAsia="Noto Sans CJK SC" w:ascii="Noto Sans CJK SC" w:hAnsi="Noto Sans CJK SC"/>
        </w:rPr>
        <w:br/>
        <w:t>适用范围：用于冻结接口入参与出参结构、前后端字段命名口径、页面字段与 DTO 的映射关系</w:t>
      </w:r>
      <w:r>
        <w:rPr>
          <w:rFonts w:eastAsia="Noto Sans CJK SC" w:ascii="Noto Sans CJK SC" w:hAnsi="Noto Sans CJK SC"/>
        </w:rPr>
        <w:br/>
        <w:t>关联文档：11 接口设计说明；12 数据模型与数据字典说明；17 模块详细设计说明；26 页面字段与状态冻结表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项目名称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智能人才库项目（学术人才子系统 MVP）</w:t>
            </w:r>
          </w:p>
        </w:tc>
        <w:tc>
          <w:tcPr>
            <w:tcW w:type="dxa" w:w="136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编制用途</w:t>
            </w:r>
          </w:p>
        </w:tc>
        <w:tc>
          <w:tcPr>
            <w:tcW w:type="dxa" w:w="35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开发准备 / 协同开发 / 测试验收 / 试运行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适用阶段</w:t>
            </w:r>
          </w:p>
        </w:tc>
        <w:tc>
          <w:tcPr>
            <w:tcW w:type="dxa" w:w="294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开发准备 → 开发实现 → 测试验收 → 试运行</w:t>
            </w:r>
          </w:p>
        </w:tc>
        <w:tc>
          <w:tcPr>
            <w:tcW w:type="dxa" w:w="1361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CE6F1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适用对象</w:t>
            </w:r>
          </w:p>
        </w:tc>
        <w:tc>
          <w:tcPr>
            <w:tcW w:type="dxa" w:w="35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项目负责人、Claude Code、前后端开发、测试与验收人员</w:t>
            </w:r>
          </w:p>
        </w:tc>
      </w:tr>
    </w:tbl>
    <w:p/>
    <w:p>
      <w:pPr>
        <w:spacing w:before="0" w:after="120" w:line="300" w:lineRule="auto"/>
      </w:pPr>
      <w:r>
        <w:rPr>
          <w:b/>
          <w:color w:val="365F91"/>
          <w:rFonts w:eastAsia="Noto Sans CJK SC" w:ascii="Noto Sans CJK SC" w:hAnsi="Noto Sans CJK SC"/>
        </w:rPr>
        <w:t>编制说明</w:t>
      </w:r>
      <w:r>
        <w:rPr>
          <w:rFonts w:eastAsia="Noto Sans CJK SC" w:ascii="Noto Sans CJK SC" w:hAnsi="Noto Sans CJK SC"/>
        </w:rPr>
        <w:t>：本文件不是重复定义业务规则，而是把接口设计、数据字典和页面字段冻结表收束为“开发可直接使用”的 DTO 映射清单。目标是降低前后端字段漂移、接口层级不一致、页面 props 临时拼装等返工风险。</w:t>
      </w:r>
    </w:p>
    <w:p>
      <w:pPr>
        <w:pStyle w:val="Heading1"/>
      </w:pPr>
      <w:r>
        <w:t>1. 冻结原则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统一命名口径</w:t>
      </w:r>
      <w:r>
        <w:rPr>
          <w:rFonts w:eastAsia="Noto Sans CJK SC" w:ascii="Noto Sans CJK SC" w:hAnsi="Noto Sans CJK SC"/>
        </w:rPr>
        <w:t>：数据库与后端内部模型允许使用 snake_case；对前端暴露的 JSON DTO 统一采用 camelCase，避免 TypeScript 页面层再次二次转换。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统一响应封装</w:t>
      </w:r>
      <w:r>
        <w:rPr>
          <w:rFonts w:eastAsia="Noto Sans CJK SC" w:ascii="Noto Sans CJK SC" w:hAnsi="Noto Sans CJK SC"/>
        </w:rPr>
        <w:t>：所有列表、详情、搜索、配置类接口统一套用响应信封对象；分页结构统一，不允许不同页面使用不同 total/page/pageSize 字段。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字段分层清晰</w:t>
      </w:r>
      <w:r>
        <w:rPr>
          <w:rFonts w:eastAsia="Noto Sans CJK SC" w:ascii="Noto Sans CJK SC" w:hAnsi="Noto Sans CJK SC"/>
        </w:rPr>
        <w:t>：Source Layer 字段不得直接穿透页面；前台页面只能读取领域对象或 DTO 层字段。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优先映射 MVP 页面</w:t>
      </w:r>
      <w:r>
        <w:rPr>
          <w:rFonts w:eastAsia="Noto Sans CJK SC" w:ascii="Noto Sans CJK SC" w:hAnsi="Noto Sans CJK SC"/>
        </w:rPr>
        <w:t>：本清单优先覆盖首页、国家/学校目录、学校详情、学校人才列表、人才详情、权限配置六类页面。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保留扩展位</w:t>
      </w:r>
      <w:r>
        <w:rPr>
          <w:rFonts w:eastAsia="Noto Sans CJK SC" w:ascii="Noto Sans CJK SC" w:hAnsi="Noto Sans CJK SC"/>
        </w:rPr>
        <w:t>：学院/实验室、多源融合、推荐排序等二期字段在 DTO 中仅保留扩展位，不作为一期必填。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10" w:space="0" w:color="BFD0E5"/>
          <w:left w:val="single" w:sz="10" w:space="0" w:color="BFD0E5"/>
          <w:bottom w:val="single" w:sz="10" w:space="0" w:color="BFD0E5"/>
          <w:right w:val="single" w:sz="10" w:space="0" w:color="BFD0E5"/>
          <w:insideH w:val="single" w:sz="10" w:space="0" w:color="BFD0E5"/>
          <w:insideV w:val="single" w:sz="10" w:space="0" w:color="BFD0E5"/>
        </w:tblBorders>
      </w:tblPr>
      <w:tblGrid>
        <w:gridCol w:w="9525"/>
      </w:tblGrid>
      <w:tr>
        <w:tc>
          <w:tcPr>
            <w:tcW w:type="dxa" w:w="9525"/>
            <w:shd w:fill="F4F7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b/>
                <w:color w:val="365F91"/>
                <w:rFonts w:eastAsia="Noto Sans CJK SC" w:ascii="Noto Sans CJK SC" w:hAnsi="Noto Sans CJK SC"/>
              </w:rPr>
              <w:t>执行口径：</w:t>
            </w:r>
            <w:r>
              <w:rPr>
                <w:rFonts w:eastAsia="Noto Sans CJK SC" w:ascii="Noto Sans CJK SC" w:hAnsi="Noto Sans CJK SC"/>
              </w:rPr>
              <w:t>Claude Code 进行接口开发或页面联调时，应先比对本清单，再决定返回字段；未出现在本清单中的新增字段，必须在任务包说明中显式列出并经项目负责人确认。</w:t>
            </w:r>
          </w:p>
        </w:tc>
      </w:tr>
    </w:tbl>
    <w:p/>
    <w:p>
      <w:pPr>
        <w:pStyle w:val="Heading1"/>
      </w:pPr>
      <w:r>
        <w:t>2. 命名规范与公共 DTO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类别</w:t>
            </w:r>
          </w:p>
        </w:tc>
        <w:tc>
          <w:tcPr>
            <w:tcW w:type="dxa" w:w="226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冻结规则</w:t>
            </w:r>
          </w:p>
        </w:tc>
        <w:tc>
          <w:tcPr>
            <w:tcW w:type="dxa" w:w="4876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JSON 字段命名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camelCase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例如 schoolId、countryName、professorCount、activeVersion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数据库 / ORM 字段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snake_case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例如 school_id、country_name、professor_count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布尔字段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is/has 前缀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例如 isAuthorized、hasMore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时间字段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ISO 8601 字符串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统一使用 updatedAt、createdAt、generatedAt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枚举字段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小写英文值 + 前端中文展示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例如 roleType=professor/student/graduate/unknown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98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公共 DTO</w:t>
            </w:r>
          </w:p>
        </w:tc>
        <w:tc>
          <w:tcPr>
            <w:tcW w:type="dxa" w:w="3515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关键字段</w:t>
            </w:r>
          </w:p>
        </w:tc>
        <w:tc>
          <w:tcPr>
            <w:tcW w:type="dxa" w:w="345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使用范围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ApiResponse&lt;T&gt;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success, code, message, data, requestId, timestamp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所有接口统一返回信封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PagedResult&lt;T&gt;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items, total, pageNo, pageSize, hasMore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分页型列表 / 搜索结果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OptionItemDTO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label, value, extra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下拉选项、权限配置选择器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TagItemDTO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tagKey, tagLabel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技术方向 / 角色 / 状态标签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EmptyStateDTO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emptyType, title, description, suggestion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空态与异常态统一描述对象</w:t>
            </w:r>
          </w:p>
        </w:tc>
      </w:tr>
    </w:tbl>
    <w:p/>
    <w:p>
      <w:pPr>
        <w:pStyle w:val="Heading1"/>
      </w:pPr>
      <w:r>
        <w:t>3. 页面与接口总体映射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页面 / 功能</w:t>
            </w:r>
          </w:p>
        </w:tc>
        <w:tc>
          <w:tcPr>
            <w:tcW w:type="dxa" w:w="272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核心接口</w:t>
            </w:r>
          </w:p>
        </w:tc>
        <w:tc>
          <w:tcPr>
            <w:tcW w:type="dxa" w:w="260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核心响应 DTO</w:t>
            </w:r>
          </w:p>
        </w:tc>
        <w:tc>
          <w:tcPr>
            <w:tcW w:type="dxa" w:w="238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前端页面/组件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首页总览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/api/v1/overview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OverviewDTO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OverviewPage / StatCards / SearchHero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国家目录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/api/v1/countries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CountryDirectoryItemDTO[]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CountryDirectory / CountryCard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学校目录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/api/v1/schools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PagedResult&lt;SchoolDirectoryItemDTO&gt;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SchoolDirectory / SchoolCard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学校详情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/api/v1/schools/{id}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SchoolDetailDTO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SchoolDetailPage / SchoolHeader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学校教授视图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/api/v1/schools/{id}/talents?view=professor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PagedResult&lt;ProfessorCardDTO&gt;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ProfessorCardList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学校学生视图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/api/v1/schools/{id}/talents?view=student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PagedResult&lt;StudentRowDTO&gt;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StudentTable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人才详情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/api/v1/talents/{id}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TalentDetailDTO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TalentDetailPage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搜索结果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 /api/v1/search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PagedResult&lt;SearchResultItemDTO&gt;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SearchResultPage / UnifiedTalentList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权限配置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GET/PUT /api/v1/admin/user-scopes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UserScopeDTO / UpdateUserScopeRequestDTO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PermissionPage</w:t>
            </w:r>
          </w:p>
        </w:tc>
      </w:tr>
    </w:tbl>
    <w:p/>
    <w:p>
      <w:pPr>
        <w:pStyle w:val="Heading1"/>
      </w:pPr>
      <w:r>
        <w:t>4. 关键接口 DTO 明细</w:t>
      </w:r>
    </w:p>
    <w:p>
      <w:pPr>
        <w:pStyle w:val="Heading2"/>
      </w:pPr>
      <w:r>
        <w:t>4.1 首页总览：OverviewDTO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字段名</w:t>
            </w:r>
          </w:p>
        </w:tc>
        <w:tc>
          <w:tcPr>
            <w:tcW w:type="dxa" w:w="119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232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来源对象</w:t>
            </w:r>
          </w:p>
        </w:tc>
        <w:tc>
          <w:tcPr>
            <w:tcW w:type="dxa" w:w="3515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页面用途 / 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authorizedSchoolCount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overview_stat_snapshot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首页统计卡：已收录高校数（权限过滤后）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professorCount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overview_stat_snapshot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首页统计卡：教授人才数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studentCount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overview_stat_snapshot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首页统计卡：学生人才数（在读+已毕业可按展示口径拆分）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authorizedUserSchoolCount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iam_user_school_scope + stat snapshot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首页统计卡：授权学校数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activeVersion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sys_active_version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页面右上角/调试信息；便于验收版本一致性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lastRefreshTime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sync_batch / version metadata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提示数据最近刷新时间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searchPlaceholder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前端配置项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首页搜索框占位提示，不从外部数据源直接返回</w:t>
            </w:r>
          </w:p>
        </w:tc>
      </w:tr>
    </w:tbl>
    <w:p/>
    <w:p>
      <w:pPr>
        <w:pStyle w:val="Heading2"/>
      </w:pPr>
      <w:r>
        <w:t>4.2 国家 / 学校目录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DTO</w:t>
            </w:r>
          </w:p>
        </w:tc>
        <w:tc>
          <w:tcPr>
            <w:tcW w:type="dxa" w:w="175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字段名</w:t>
            </w:r>
          </w:p>
        </w:tc>
        <w:tc>
          <w:tcPr>
            <w:tcW w:type="dxa" w:w="113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4139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CountryDirectoryItemDTO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countryId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国家主键或标准编码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countryName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国家中文/英文标准展示名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schoolCount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当前用户有权限查看的学校数量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professorCount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当前用户权限范围内该国家教授数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studentCount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当前用户权限范围内该国家学生数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SchoolDirectoryItemDTO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schoolId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学校主键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schoolName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学校标准展示名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countryName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所属国家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schoolSummary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学校简介摘要；缺失时前端显示“信息待补充”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professorCount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该学校教授人数快照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studentCount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该学校学生人数快照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isAuthorized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boolean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一般为 true；用于后续管理视图扩展</w:t>
            </w:r>
          </w:p>
        </w:tc>
      </w:tr>
    </w:tbl>
    <w:p/>
    <w:p>
      <w:pPr>
        <w:pStyle w:val="Heading2"/>
      </w:pPr>
      <w:r>
        <w:t>4.3 学校详情 / 学校人才列表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87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DTO</w:t>
            </w:r>
          </w:p>
        </w:tc>
        <w:tc>
          <w:tcPr>
            <w:tcW w:type="dxa" w:w="170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字段名</w:t>
            </w:r>
          </w:p>
        </w:tc>
        <w:tc>
          <w:tcPr>
            <w:tcW w:type="dxa" w:w="113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4365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SchoolDetailDTO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schoolId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学校主键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schoolName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学校名称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countryName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国家 / 地区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schoolSummary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学校介绍正文或摘要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professorCount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快照统计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studentCount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number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快照统计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tabs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固定包含 professor/student 两个视图定义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ProfessorCardDTO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talentId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人才主键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talentName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教授姓名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roleType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固定返回 professor 或 unknown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titleLabel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职称/身份标签，如 Professor、Associate Professor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researchTags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array&lt;TagItemDTO&gt;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技术方向标签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highlightSummary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代表成果或简介摘要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recentActivityHint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最近活跃提示，例如最近发表时间段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StudentRowDTO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talentId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人才主键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talentName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学生姓名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roleType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 / graduate / unknown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programLabel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博士/硕士/已毕业等项目状态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researchDirection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研究方向文本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selectedWorkSummary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代表成果摘要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lastActiveAt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最近活跃时间</w:t>
            </w:r>
          </w:p>
        </w:tc>
      </w:tr>
    </w:tbl>
    <w:p/>
    <w:p>
      <w:pPr>
        <w:pStyle w:val="Heading2"/>
      </w:pPr>
      <w:r>
        <w:t>4.4 人才详情：TalentDetailDTO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15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字段名</w:t>
            </w:r>
          </w:p>
        </w:tc>
        <w:tc>
          <w:tcPr>
            <w:tcW w:type="dxa" w:w="124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175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分区</w:t>
            </w:r>
          </w:p>
        </w:tc>
        <w:tc>
          <w:tcPr>
            <w:tcW w:type="dxa" w:w="3912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talentId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基础信息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人才主键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talentName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基础信息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人才姓名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roleType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基础信息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 / student / graduate / unknown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currentSchoolName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基础信息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当前学校名称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currentRoleLabel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基础信息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面向用户展示的当前角色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researchTags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array&lt;TagItemDTO&gt;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研究方向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技术方向标签集合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profileSummary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个人简介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详情顶部摘要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selectedWorks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array&lt;SelectedWorkDTO&gt;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代表成果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代表论文 / 项目 / 论文摘要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recentActivities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array&lt;ActivityDTO&gt;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活跃信息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近期发表、项目或更新时间摘要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sourceConfidence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质量提示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用于内部调试或数据准备中提示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dataStatus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状态提示</w:t>
            </w:r>
          </w:p>
        </w:tc>
        <w:tc>
          <w:tcPr>
            <w:tcW w:type="dxa" w:w="3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normal / preparing / pendingConfirm</w:t>
            </w:r>
          </w:p>
        </w:tc>
      </w:tr>
    </w:tbl>
    <w:p/>
    <w:p>
      <w:pPr>
        <w:pStyle w:val="Heading2"/>
      </w:pPr>
      <w:r>
        <w:t>4.5 权限配置：UserScopeDTO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32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DTO</w:t>
            </w:r>
          </w:p>
        </w:tc>
        <w:tc>
          <w:tcPr>
            <w:tcW w:type="dxa" w:w="1757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字段名</w:t>
            </w:r>
          </w:p>
        </w:tc>
        <w:tc>
          <w:tcPr>
            <w:tcW w:type="dxa" w:w="1191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类型</w:t>
            </w:r>
          </w:p>
        </w:tc>
        <w:tc>
          <w:tcPr>
            <w:tcW w:type="dxa" w:w="379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UserScopeDTO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userId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用户主键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userName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显示名称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scopeType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一期固定为 school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scopeItems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array&lt;OptionItemDTO&gt;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已授权学校清单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updatedAt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最近更新时间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UpdateUserScopeRequestDTO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userId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目标用户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scopeType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固定传 school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schoolIds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array&lt;string&gt;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待写入授权的学校列表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operatorRemark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string</w:t>
            </w:r>
          </w:p>
        </w:tc>
        <w:tc>
          <w:tcPr>
            <w:tcW w:type="dxa" w:w="37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操作备注，可选</w:t>
            </w:r>
          </w:p>
        </w:tc>
      </w:tr>
    </w:tbl>
    <w:p/>
    <w:p>
      <w:pPr>
        <w:pStyle w:val="Heading1"/>
      </w:pPr>
      <w:r>
        <w:t>5. 页面字段与 DTO 逐项映射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9D4E5"/>
          <w:left w:val="single" w:sz="8" w:space="0" w:color="C9D4E5"/>
          <w:bottom w:val="single" w:sz="8" w:space="0" w:color="C9D4E5"/>
          <w:right w:val="single" w:sz="8" w:space="0" w:color="C9D4E5"/>
          <w:insideH w:val="single" w:sz="8" w:space="0" w:color="C9D4E5"/>
          <w:insideV w:val="single" w:sz="8" w:space="0" w:color="C9D4E5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页面区块</w:t>
            </w:r>
          </w:p>
        </w:tc>
        <w:tc>
          <w:tcPr>
            <w:tcW w:type="dxa" w:w="2835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前端字段 / props</w:t>
            </w:r>
          </w:p>
        </w:tc>
        <w:tc>
          <w:tcPr>
            <w:tcW w:type="dxa" w:w="2154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来源 DTO</w:t>
            </w:r>
          </w:p>
        </w:tc>
        <w:tc>
          <w:tcPr>
            <w:tcW w:type="dxa" w:w="2835"/>
            <w:vAlign w:val="center"/>
            <w:shd w:fill="DCE6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说明 / 空值策略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首页统计卡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authorizedSchoolCount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OverviewDTO.authorizedSchoolCount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缺失时显示 0，不阻断页面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首页搜索框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searchPlaceholder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OverviewDTO.searchPlaceholder 或前端配置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不从 OpenAlex 原始字段取值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学校卡片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schoolName / countryName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SchoolDirectoryItemDTO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学校摘要为空时显示“信息待补充”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学校卡片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professorCount / studentCount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SchoolDirectoryItemDTO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均来自快照，不实时聚合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教授卡片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talentName / titleLabel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ProfessorCardDTO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姓名必填；titleLabel 可缺省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教授卡片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researchTags / highlightSummary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ProfessorCardDTO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标签为空时展示“-”或空态提示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学生表格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talentName / programLabel / lastActiveAt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StudentRowDTO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表格列顺序冻结，不随页面自行调整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人才详情头部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talentName / currentRoleLabel / currentSchoolName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TalentDetailDTO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若学校缺失则显示“待确认学校”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权限配置页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scopeItems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UserScopeDTO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统一作为已授权学校 chips / tags 数据源</w:t>
            </w:r>
          </w:p>
        </w:tc>
      </w:tr>
    </w:tbl>
    <w:p/>
    <w:p>
      <w:pPr>
        <w:pStyle w:val="Heading1"/>
      </w:pPr>
      <w:r>
        <w:t>6. DTO 变更控制规则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新增字段</w:t>
      </w:r>
      <w:r>
        <w:rPr>
          <w:rFonts w:eastAsia="Noto Sans CJK SC" w:ascii="Noto Sans CJK SC" w:hAnsi="Noto Sans CJK SC"/>
        </w:rPr>
        <w:t>：允许在不破坏兼容性的前提下追加，但必须在任务说明中同步更新本清单。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删除字段</w:t>
      </w:r>
      <w:r>
        <w:rPr>
          <w:rFonts w:eastAsia="Noto Sans CJK SC" w:ascii="Noto Sans CJK SC" w:hAnsi="Noto Sans CJK SC"/>
        </w:rPr>
        <w:t>：若页面仍使用则禁止删除；必须先完成页面迁移和验收后再移除。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重命名字段</w:t>
      </w:r>
      <w:r>
        <w:rPr>
          <w:rFonts w:eastAsia="Noto Sans CJK SC" w:ascii="Noto Sans CJK SC" w:hAnsi="Noto Sans CJK SC"/>
        </w:rPr>
        <w:t>：原则上禁止直接重命名；如必须调整，需提供兼容期或一次性全链路同步改造。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新增接口</w:t>
      </w:r>
      <w:r>
        <w:rPr>
          <w:rFonts w:eastAsia="Noto Sans CJK SC" w:ascii="Noto Sans CJK SC" w:hAnsi="Noto Sans CJK SC"/>
        </w:rPr>
        <w:t>：应优先复用既有 DTO 或公共分页信封；不能为了某个页面单独发明完全不同的返回范式。</w:t>
      </w:r>
    </w:p>
    <w:p>
      <w:pPr>
        <w:spacing w:before="0" w:after="80" w:line="300" w:lineRule="auto"/>
        <w:ind w:left="283" w:hanging="198"/>
      </w:pPr>
      <w:r>
        <w:rPr>
          <w:b/>
          <w:rFonts w:eastAsia="Noto Sans CJK SC" w:ascii="Noto Sans CJK SC" w:hAnsi="Noto Sans CJK SC"/>
        </w:rPr>
        <w:t xml:space="preserve">• </w:t>
      </w:r>
      <w:r>
        <w:rPr>
          <w:b/>
          <w:rFonts w:eastAsia="Noto Sans CJK SC" w:ascii="Noto Sans CJK SC" w:hAnsi="Noto Sans CJK SC"/>
        </w:rPr>
        <w:t>前端透传原始字段</w:t>
      </w:r>
      <w:r>
        <w:rPr>
          <w:rFonts w:eastAsia="Noto Sans CJK SC" w:ascii="Noto Sans CJK SC" w:hAnsi="Noto Sans CJK SC"/>
        </w:rPr>
        <w:t>：禁止。Source Layer 变化不得直接波及前端页面与页面组件。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10" w:space="0" w:color="BFD0E5"/>
          <w:left w:val="single" w:sz="10" w:space="0" w:color="BFD0E5"/>
          <w:bottom w:val="single" w:sz="10" w:space="0" w:color="BFD0E5"/>
          <w:right w:val="single" w:sz="10" w:space="0" w:color="BFD0E5"/>
          <w:insideH w:val="single" w:sz="10" w:space="0" w:color="BFD0E5"/>
          <w:insideV w:val="single" w:sz="10" w:space="0" w:color="BFD0E5"/>
        </w:tblBorders>
      </w:tblPr>
      <w:tblGrid>
        <w:gridCol w:w="9525"/>
      </w:tblGrid>
      <w:tr>
        <w:tc>
          <w:tcPr>
            <w:tcW w:type="dxa" w:w="9525"/>
            <w:shd w:fill="F4F7FB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b/>
                <w:color w:val="365F91"/>
                <w:rFonts w:eastAsia="Noto Sans CJK SC" w:ascii="Noto Sans CJK SC" w:hAnsi="Noto Sans CJK SC"/>
              </w:rPr>
              <w:t>建议执行方式：</w:t>
            </w:r>
            <w:r>
              <w:rPr>
                <w:rFonts w:eastAsia="Noto Sans CJK SC" w:ascii="Noto Sans CJK SC" w:hAnsi="Noto Sans CJK SC"/>
              </w:rPr>
              <w:t>在 Claude Code 首轮开发中，可把本文件拆成“DTO 定义任务包”和“接口返回对齐任务包”两次执行；先完成 DTO 与 response schema，再进行页面联调。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368"/>
        <w:sz w:val="17"/>
      </w:rPr>
      <w:t>智能人才库项目｜文档 28｜接口字段映射与前后端 DTO 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after="160"/>
    </w:pPr>
    <w:rPr>
      <w:rFonts w:ascii="Noto Sans CJK SC" w:hAnsi="Noto Sans CJK SC" w:eastAsia="Noto Sans CJK SC"/>
      <w:b/>
      <w:color w:val="225588"/>
      <w:sz w:val="40"/>
    </w:rPr>
  </w:style>
  <w:style w:type="paragraph" w:customStyle="1" w:styleId="SubTitleCN">
    <w:name w:val="SubTitleCN"/>
    <w:basedOn w:val="Normal"/>
    <w:pPr>
      <w:spacing w:after="200"/>
    </w:pPr>
    <w:rPr>
      <w:color w:val="5F6368"/>
      <w:sz w:val="21"/>
      <w:rFonts w:eastAsia="Noto Sans CJK SC" w:ascii="Noto Sans CJK SC" w:hAnsi="Noto Sans CJK SC"/>
    </w:rPr>
  </w:style>
  <w:style w:type="paragraph" w:customStyle="1" w:styleId="Callout">
    <w:name w:val="Callout"/>
    <w:basedOn w:val="Normal"/>
    <w:pPr>
      <w:spacing w:before="80" w:after="120"/>
      <w:ind w:left="227" w:right="113"/>
    </w:pPr>
    <w:rPr>
      <w:rFonts w:ascii="Noto Sans CJK SC" w:hAnsi="Noto Sans CJK SC" w:eastAsia="Noto Sans CJK SC"/>
      <w:color w:val="1E1E1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