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</w:pPr>
      <w:r>
        <w:rPr>
          <w:rFonts w:eastAsia="Noto Sans CJK SC" w:ascii="Noto Sans CJK SC" w:hAnsi="Noto Sans CJK SC"/>
        </w:rPr>
        <w:t>智能人才库项目</w:t>
      </w:r>
    </w:p>
    <w:p>
      <w:pPr>
        <w:pStyle w:val="TitleCustom"/>
      </w:pPr>
      <w:r>
        <w:rPr>
          <w:rFonts w:eastAsia="Noto Sans CJK SC" w:ascii="Noto Sans CJK SC" w:hAnsi="Noto Sans CJK SC"/>
        </w:rPr>
        <w:t>MVP 测试与验收用例说明</w:t>
      </w:r>
    </w:p>
    <w:p>
      <w:pPr>
        <w:pStyle w:val="SubtitleCustom"/>
      </w:pPr>
      <w:r>
        <w:rPr>
          <w:rFonts w:eastAsia="Noto Sans CJK SC" w:ascii="Noto Sans CJK SC" w:hAnsi="Noto Sans CJK SC"/>
        </w:rPr>
        <w:t>适用范围：第一阶段学术人才子系统 MVP｜文档编号：24｜版本：V1.0｜阶段：开发准备 / 测试验收</w:t>
      </w:r>
    </w:p>
    <w:p>
      <w:pPr>
        <w:pStyle w:val="SmallGrey"/>
      </w:pPr>
      <w:r>
        <w:rPr>
          <w:rFonts w:eastAsia="Noto Sans CJK SC" w:ascii="Noto Sans CJK SC" w:hAnsi="Noto Sans CJK SC"/>
        </w:rPr>
        <w:t>用于统一测试策略、用例口径、验收标准与试运行前质量门禁</w:t>
      </w:r>
    </w:p>
    <w:p>
      <w:pPr>
        <w:pBdr>
          <w:bottom w:val="single" w:sz="10" w:space="1" w:color="7FA5D8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9C7D7"/>
          <w:left w:val="single" w:sz="8" w:space="0" w:color="B9C7D7"/>
          <w:bottom w:val="single" w:sz="8" w:space="0" w:color="B9C7D7"/>
          <w:right w:val="single" w:sz="8" w:space="0" w:color="B9C7D7"/>
          <w:insideH w:val="single" w:sz="8" w:space="0" w:color="B9C7D7"/>
          <w:insideV w:val="single" w:sz="8" w:space="0" w:color="B9C7D7"/>
        </w:tblBorders>
      </w:tblPr>
      <w:tblGrid>
        <w:gridCol w:w="2479"/>
        <w:gridCol w:w="2479"/>
        <w:gridCol w:w="2479"/>
        <w:gridCol w:w="2479"/>
      </w:tblGrid>
      <w:tr>
        <w:tc>
          <w:tcPr>
            <w:tcW w:type="dxa" w:w="136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DDE7F3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b/>
                <w:sz w:val="18"/>
              </w:rPr>
              <w:t>适用对象</w:t>
            </w:r>
          </w:p>
        </w:tc>
        <w:tc>
          <w:tcPr>
            <w:tcW w:type="dxa" w:w="175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sz w:val="18"/>
              </w:rPr>
              <w:t>项目 Owner / 产品 / 开发 / 测试 / 业务试用方</w:t>
            </w:r>
          </w:p>
        </w:tc>
        <w:tc>
          <w:tcPr>
            <w:tcW w:type="dxa" w:w="136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DDE7F3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b/>
                <w:sz w:val="18"/>
              </w:rPr>
              <w:t>对应阶段</w:t>
            </w:r>
          </w:p>
        </w:tc>
        <w:tc>
          <w:tcPr>
            <w:tcW w:type="dxa" w:w="283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sz w:val="18"/>
              </w:rPr>
              <w:t>开发实现前置、联调、UAT、试运行前验收</w:t>
            </w:r>
          </w:p>
        </w:tc>
      </w:tr>
      <w:tr>
        <w:tc>
          <w:tcPr>
            <w:tcW w:type="dxa" w:w="136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DDE7F3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b/>
                <w:sz w:val="18"/>
              </w:rPr>
              <w:t>编制日期</w:t>
            </w:r>
          </w:p>
        </w:tc>
        <w:tc>
          <w:tcPr>
            <w:tcW w:type="dxa" w:w="175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sz w:val="18"/>
              </w:rPr>
              <w:t>2026-03-18</w:t>
            </w:r>
          </w:p>
        </w:tc>
        <w:tc>
          <w:tcPr>
            <w:tcW w:type="dxa" w:w="136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DDE7F3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b/>
                <w:sz w:val="18"/>
              </w:rPr>
              <w:t>关联文档</w:t>
            </w:r>
          </w:p>
        </w:tc>
        <w:tc>
          <w:tcPr>
            <w:tcW w:type="dxa" w:w="283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sz w:val="18"/>
              </w:rPr>
              <w:t>06 需求规格、10/17 详细设计、11 接口、14 权限、20/21 冻结单、23 协同开发规范</w:t>
            </w:r>
          </w:p>
        </w:tc>
      </w:tr>
      <w:tr>
        <w:tc>
          <w:tcPr>
            <w:tcW w:type="dxa" w:w="136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DDE7F3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b/>
                <w:sz w:val="18"/>
              </w:rPr>
              <w:t>文档定位</w:t>
            </w:r>
          </w:p>
        </w:tc>
        <w:tc>
          <w:tcPr>
            <w:tcW w:type="dxa" w:w="175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sz w:val="18"/>
              </w:rPr>
              <w:t>测试策略与验收基线文档</w:t>
            </w:r>
          </w:p>
        </w:tc>
        <w:tc>
          <w:tcPr>
            <w:tcW w:type="dxa" w:w="136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DDE7F3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b/>
                <w:sz w:val="18"/>
              </w:rPr>
              <w:t>使用方式</w:t>
            </w:r>
          </w:p>
        </w:tc>
        <w:tc>
          <w:tcPr>
            <w:tcW w:type="dxa" w:w="283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sz w:val="18"/>
              </w:rPr>
              <w:t>用于任务包验收、测试执行、UAT 走查、试运行门禁判定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1. 文档目的与适用范围</w:t>
      </w:r>
    </w:p>
    <w:p>
      <w:pPr>
        <w:spacing w:line="319" w:lineRule="auto" w:after="80"/>
      </w:pPr>
      <w:r>
        <w:rPr>
          <w:rFonts w:eastAsia="Noto Sans CJK SC" w:ascii="Noto Sans CJK SC" w:hAnsi="Noto Sans CJK SC"/>
          <w:sz w:val="20"/>
        </w:rPr>
        <w:t>本文件用于把学术人才子系统 MVP 的功能范围、规则冻结、接口约定和模块设计，收束为一套可以直接执行的测试与验收基线。它不是泛泛的测试建议，而是面向“单人 + Claude Code 协同开发”场景的执行文档：每一轮任务包都应能映射到本文件中的测试类型、用例集、通过标准和缺陷处理要求。</w:t>
      </w:r>
    </w:p>
    <w:p>
      <w:pPr>
        <w:spacing w:line="319" w:lineRule="auto" w:after="80"/>
      </w:pPr>
      <w:r>
        <w:rPr>
          <w:rFonts w:eastAsia="Noto Sans CJK SC" w:ascii="Noto Sans CJK SC" w:hAnsi="Noto Sans CJK SC"/>
          <w:sz w:val="20"/>
        </w:rPr>
        <w:t>本文件覆盖四类测试活动：开发自测、联调验证、业务 UAT、试运行前回归验收。适用对象包括项目 Owner、产品/设计、开发、测试支持、管理员与业务试用方。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AFC1D6"/>
          <w:left w:val="single" w:sz="8" w:space="0" w:color="AFC1D6"/>
          <w:bottom w:val="single" w:sz="8" w:space="0" w:color="AFC1D6"/>
          <w:right w:val="single" w:sz="8" w:space="0" w:color="AFC1D6"/>
          <w:insideH w:val="single" w:sz="8" w:space="0" w:color="AFC1D6"/>
          <w:insideV w:val="single" w:sz="8" w:space="0" w:color="AFC1D6"/>
        </w:tblBorders>
      </w:tblPr>
      <w:tblGrid>
        <w:gridCol w:w="9916"/>
      </w:tblGrid>
      <w:tr>
        <w:tc>
          <w:tcPr>
            <w:tcW w:type="dxa" w:w="9916"/>
            <w:shd w:fill="F4F7FB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eastAsia="Noto Sans CJK SC" w:ascii="Noto Sans CJK SC" w:hAnsi="Noto Sans CJK SC"/>
                <w:b/>
                <w:sz w:val="20"/>
              </w:rPr>
              <w:t>本文件的使用边界</w:t>
            </w:r>
          </w:p>
          <w:p>
            <w:pPr>
              <w:spacing w:after="40"/>
              <w:ind w:left="295" w:hanging="181"/>
            </w:pPr>
            <w:r>
              <w:rPr>
                <w:rFonts w:eastAsia="Noto Sans CJK SC" w:ascii="Noto Sans CJK SC" w:hAnsi="Noto Sans CJK SC"/>
                <w:sz w:val="18"/>
              </w:rPr>
              <w:t>• 作为 Iteration 1～4 的统一测试口径，不替代详细设计、接口说明和权限设计本身。</w:t>
            </w:r>
          </w:p>
          <w:p>
            <w:pPr>
              <w:spacing w:after="40"/>
              <w:ind w:left="295" w:hanging="181"/>
            </w:pPr>
            <w:r>
              <w:rPr>
                <w:rFonts w:eastAsia="Noto Sans CJK SC" w:ascii="Noto Sans CJK SC" w:hAnsi="Noto Sans CJK SC"/>
                <w:sz w:val="18"/>
              </w:rPr>
              <w:t>• 所有验收结果必须回写到任务包或缺陷清单中，不能只停留在口头确认。</w:t>
            </w:r>
          </w:p>
          <w:p>
            <w:pPr>
              <w:spacing w:after="40"/>
              <w:ind w:left="295" w:hanging="181"/>
            </w:pPr>
            <w:r>
              <w:rPr>
                <w:rFonts w:eastAsia="Noto Sans CJK SC" w:ascii="Noto Sans CJK SC" w:hAnsi="Noto Sans CJK SC"/>
                <w:sz w:val="18"/>
              </w:rPr>
              <w:t>• 若规则与现有文档冲突，以最新冻结单和刷新版文档为准。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2. 测试目标与验收原则</w:t>
      </w:r>
    </w:p>
    <w:p>
      <w:pPr>
        <w:spacing w:line="319" w:lineRule="auto" w:after="80"/>
      </w:pPr>
      <w:r>
        <w:rPr>
          <w:rFonts w:eastAsia="Noto Sans CJK SC" w:ascii="Noto Sans CJK SC" w:hAnsi="Noto Sans CJK SC"/>
          <w:sz w:val="20"/>
        </w:rPr>
        <w:t>第一阶段测试的核心目标，不是证明“页面能点开”，而是确认系统已经具备受控试运行的最小质量：核心链路能跑通、权限边界一致、统计口径一致、数据版本切换安全、异常场景可识别、页面状态完整、任务可追踪、回归后不轻易破坏既有能力。</w:t>
      </w:r>
    </w:p>
    <w:p>
      <w:pPr>
        <w:spacing w:line="319" w:lineRule="auto" w:after="80"/>
        <w:ind w:left="329" w:hanging="193"/>
      </w:pPr>
      <w:r>
        <w:rPr>
          <w:rFonts w:eastAsia="Noto Sans CJK SC" w:ascii="Noto Sans CJK SC" w:hAnsi="Noto Sans CJK SC"/>
          <w:sz w:val="20"/>
        </w:rPr>
        <w:t>• 验收遵循以下原则：</w:t>
      </w:r>
    </w:p>
    <w:p>
      <w:pPr>
        <w:spacing w:line="319" w:lineRule="auto" w:after="80"/>
        <w:ind w:left="329" w:hanging="193"/>
      </w:pPr>
      <w:r>
        <w:rPr>
          <w:rFonts w:eastAsia="Noto Sans CJK SC" w:ascii="Noto Sans CJK SC" w:hAnsi="Noto Sans CJK SC"/>
          <w:sz w:val="20"/>
        </w:rPr>
        <w:t>• 先验核心链路，再验增强细节；优先保证“看总览—搜/按国家看学校—进学校页—看人才列表—看详情/权限配置”的主链路。</w:t>
      </w:r>
    </w:p>
    <w:p>
      <w:pPr>
        <w:spacing w:line="319" w:lineRule="auto" w:after="80"/>
        <w:ind w:left="329" w:hanging="193"/>
      </w:pPr>
      <w:r>
        <w:rPr>
          <w:rFonts w:eastAsia="Noto Sans CJK SC" w:ascii="Noto Sans CJK SC" w:hAnsi="Noto Sans CJK SC"/>
          <w:sz w:val="20"/>
        </w:rPr>
        <w:t>• 先验服务端正确性，再验前端表现；任何权限或统计问题，都不能仅通过前端规避。</w:t>
      </w:r>
    </w:p>
    <w:p>
      <w:pPr>
        <w:spacing w:line="319" w:lineRule="auto" w:after="80"/>
        <w:ind w:left="329" w:hanging="193"/>
      </w:pPr>
      <w:r>
        <w:rPr>
          <w:rFonts w:eastAsia="Noto Sans CJK SC" w:ascii="Noto Sans CJK SC" w:hAnsi="Noto Sans CJK SC"/>
          <w:sz w:val="20"/>
        </w:rPr>
        <w:t>• 先验版本一致性，再验页面表现；首页、目录、学校页、列表、搜索和详情必须读同一生效版本。</w:t>
      </w:r>
    </w:p>
    <w:p>
      <w:pPr>
        <w:spacing w:line="319" w:lineRule="auto" w:after="80"/>
        <w:ind w:left="329" w:hanging="193"/>
      </w:pPr>
      <w:r>
        <w:rPr>
          <w:rFonts w:eastAsia="Noto Sans CJK SC" w:ascii="Noto Sans CJK SC" w:hAnsi="Noto Sans CJK SC"/>
          <w:sz w:val="20"/>
        </w:rPr>
        <w:t>• 先验异常与降级，再验理想态；无权限、无结果、统计未就绪、同步失败等场景必须有明确返回。</w:t>
      </w:r>
    </w:p>
    <w:p>
      <w:pPr>
        <w:pStyle w:val="Heading1"/>
      </w:pPr>
      <w:r>
        <w:rPr>
          <w:rFonts w:eastAsia="Noto Sans CJK SC" w:ascii="Noto Sans CJK SC" w:hAnsi="Noto Sans CJK SC"/>
        </w:rPr>
        <w:t>3. 测试范围与不在本轮范围内的内容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9C7D7"/>
          <w:left w:val="single" w:sz="8" w:space="0" w:color="B9C7D7"/>
          <w:bottom w:val="single" w:sz="8" w:space="0" w:color="B9C7D7"/>
          <w:right w:val="single" w:sz="8" w:space="0" w:color="B9C7D7"/>
          <w:insideH w:val="single" w:sz="8" w:space="0" w:color="B9C7D7"/>
          <w:insideV w:val="single" w:sz="8" w:space="0" w:color="B9C7D7"/>
        </w:tblBorders>
      </w:tblPr>
      <w:tblGrid>
        <w:gridCol w:w="3305"/>
        <w:gridCol w:w="3305"/>
        <w:gridCol w:w="3305"/>
      </w:tblGrid>
      <w:tr>
        <w:tc>
          <w:tcPr>
            <w:tcW w:type="dxa" w:w="1134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8"/>
              </w:rPr>
              <w:t>类别</w:t>
            </w:r>
          </w:p>
        </w:tc>
        <w:tc>
          <w:tcPr>
            <w:tcW w:type="dxa" w:w="3402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8"/>
              </w:rPr>
              <w:t>本轮纳入范围</w:t>
            </w:r>
          </w:p>
        </w:tc>
        <w:tc>
          <w:tcPr>
            <w:tcW w:type="dxa" w:w="3402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8"/>
              </w:rPr>
              <w:t>不作为本轮上线前置条件</w:t>
            </w:r>
          </w:p>
        </w:tc>
      </w:tr>
      <w:tr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8"/>
              </w:rPr>
              <w:t>功能</w:t>
            </w:r>
          </w:p>
        </w:tc>
        <w:tc>
          <w:tcPr>
            <w:tcW w:type="dxa" w:w="340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8"/>
              </w:rPr>
              <w:t>首页总览、国家/学校目录、学校页、人才列表、搜索、人才详情、权限配置、同步与构建任务</w:t>
            </w:r>
          </w:p>
        </w:tc>
        <w:tc>
          <w:tcPr>
            <w:tcW w:type="dxa" w:w="340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8"/>
              </w:rPr>
              <w:t>复杂推荐、学院/实验室独立浏览、完整图谱可视化</w:t>
            </w:r>
          </w:p>
        </w:tc>
      </w:tr>
      <w:tr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8"/>
              </w:rPr>
              <w:t>数据</w:t>
            </w:r>
          </w:p>
        </w:tc>
        <w:tc>
          <w:tcPr>
            <w:tcW w:type="dxa" w:w="340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8"/>
              </w:rPr>
              <w:t>OpenAlex 接入、school/talent/role/profile/stat/search projection、版本切换</w:t>
            </w:r>
          </w:p>
        </w:tc>
        <w:tc>
          <w:tcPr>
            <w:tcW w:type="dxa" w:w="340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8"/>
              </w:rPr>
              <w:t>多源融合冲突治理、工业/开源/竞赛来源接入</w:t>
            </w:r>
          </w:p>
        </w:tc>
      </w:tr>
      <w:tr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8"/>
              </w:rPr>
              <w:t>非功能</w:t>
            </w:r>
          </w:p>
        </w:tc>
        <w:tc>
          <w:tcPr>
            <w:tcW w:type="dxa" w:w="340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8"/>
              </w:rPr>
              <w:t>基础性能、稳定性、日志、审计、回归可执行性、页面状态完整性</w:t>
            </w:r>
          </w:p>
        </w:tc>
        <w:tc>
          <w:tcPr>
            <w:tcW w:type="dxa" w:w="340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8"/>
              </w:rPr>
              <w:t>极致性能压测、分布式任务调度、高级缓存调优</w:t>
            </w:r>
          </w:p>
        </w:tc>
      </w:tr>
      <w:tr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8"/>
              </w:rPr>
              <w:t>管理能力</w:t>
            </w:r>
          </w:p>
        </w:tc>
        <w:tc>
          <w:tcPr>
            <w:tcW w:type="dxa" w:w="340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8"/>
              </w:rPr>
              <w:t>学校范围授权、授权生效、审计可追踪</w:t>
            </w:r>
          </w:p>
        </w:tc>
        <w:tc>
          <w:tcPr>
            <w:tcW w:type="dxa" w:w="340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8"/>
              </w:rPr>
              <w:t>更细粒度的学院/实验室/方向权限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4. 测试类型与责任分工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9C7D7"/>
          <w:left w:val="single" w:sz="8" w:space="0" w:color="B9C7D7"/>
          <w:bottom w:val="single" w:sz="8" w:space="0" w:color="B9C7D7"/>
          <w:right w:val="single" w:sz="8" w:space="0" w:color="B9C7D7"/>
          <w:insideH w:val="single" w:sz="8" w:space="0" w:color="B9C7D7"/>
          <w:insideV w:val="single" w:sz="8" w:space="0" w:color="B9C7D7"/>
        </w:tblBorders>
      </w:tblPr>
      <w:tblGrid>
        <w:gridCol w:w="1983"/>
        <w:gridCol w:w="1983"/>
        <w:gridCol w:w="1983"/>
        <w:gridCol w:w="1983"/>
        <w:gridCol w:w="1983"/>
      </w:tblGrid>
      <w:tr>
        <w:tc>
          <w:tcPr>
            <w:tcW w:type="dxa" w:w="1361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测试类型</w:t>
            </w:r>
          </w:p>
        </w:tc>
        <w:tc>
          <w:tcPr>
            <w:tcW w:type="dxa" w:w="2268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主要目标</w:t>
            </w:r>
          </w:p>
        </w:tc>
        <w:tc>
          <w:tcPr>
            <w:tcW w:type="dxa" w:w="1701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建议执行者</w:t>
            </w:r>
          </w:p>
        </w:tc>
        <w:tc>
          <w:tcPr>
            <w:tcW w:type="dxa" w:w="1531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触发时机</w:t>
            </w:r>
          </w:p>
        </w:tc>
        <w:tc>
          <w:tcPr>
            <w:tcW w:type="dxa" w:w="2154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输出物</w:t>
            </w:r>
          </w:p>
        </w:tc>
      </w:tr>
      <w:tr>
        <w:tc>
          <w:tcPr>
            <w:tcW w:type="dxa" w:w="136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T1 开发自测</w:t>
            </w:r>
          </w:p>
        </w:tc>
        <w:tc>
          <w:tcPr>
            <w:tcW w:type="dxa" w:w="226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验证任务包功能完成、接口能跑、基本异常有返回</w:t>
            </w:r>
          </w:p>
        </w:tc>
        <w:tc>
          <w:tcPr>
            <w:tcW w:type="dxa" w:w="170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开发者 / Claude Code 输出后由人复核</w:t>
            </w:r>
          </w:p>
        </w:tc>
        <w:tc>
          <w:tcPr>
            <w:tcW w:type="dxa" w:w="153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每个任务包完成时</w:t>
            </w:r>
          </w:p>
        </w:tc>
        <w:tc>
          <w:tcPr>
            <w:tcW w:type="dxa" w:w="215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自测记录、运行截图、命令与已知问题</w:t>
            </w:r>
          </w:p>
        </w:tc>
      </w:tr>
      <w:tr>
        <w:tc>
          <w:tcPr>
            <w:tcW w:type="dxa" w:w="136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T2 联调测试</w:t>
            </w:r>
          </w:p>
        </w:tc>
        <w:tc>
          <w:tcPr>
            <w:tcW w:type="dxa" w:w="226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验证前后端字段、页面状态、权限与分页口径一致</w:t>
            </w:r>
          </w:p>
        </w:tc>
        <w:tc>
          <w:tcPr>
            <w:tcW w:type="dxa" w:w="170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开发者</w:t>
            </w:r>
          </w:p>
        </w:tc>
        <w:tc>
          <w:tcPr>
            <w:tcW w:type="dxa" w:w="153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页面或接口接入完成时</w:t>
            </w:r>
          </w:p>
        </w:tc>
        <w:tc>
          <w:tcPr>
            <w:tcW w:type="dxa" w:w="215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联调问题单、修复记录</w:t>
            </w:r>
          </w:p>
        </w:tc>
      </w:tr>
      <w:tr>
        <w:tc>
          <w:tcPr>
            <w:tcW w:type="dxa" w:w="136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T3 规则专项测试</w:t>
            </w:r>
          </w:p>
        </w:tc>
        <w:tc>
          <w:tcPr>
            <w:tcW w:type="dxa" w:w="226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验证权限、统计口径、角色展示、版本切换等高风险规则</w:t>
            </w:r>
          </w:p>
        </w:tc>
        <w:tc>
          <w:tcPr>
            <w:tcW w:type="dxa" w:w="170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项目 Owner 主导</w:t>
            </w:r>
          </w:p>
        </w:tc>
        <w:tc>
          <w:tcPr>
            <w:tcW w:type="dxa" w:w="153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关键模块完成后</w:t>
            </w:r>
          </w:p>
        </w:tc>
        <w:tc>
          <w:tcPr>
            <w:tcW w:type="dxa" w:w="215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专项测试结论</w:t>
            </w:r>
          </w:p>
        </w:tc>
      </w:tr>
      <w:tr>
        <w:tc>
          <w:tcPr>
            <w:tcW w:type="dxa" w:w="136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T4 UAT 业务验收</w:t>
            </w:r>
          </w:p>
        </w:tc>
        <w:tc>
          <w:tcPr>
            <w:tcW w:type="dxa" w:w="226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验证招聘场景可用性与链路完整性</w:t>
            </w:r>
          </w:p>
        </w:tc>
        <w:tc>
          <w:tcPr>
            <w:tcW w:type="dxa" w:w="170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业务试用方 + Owner</w:t>
            </w:r>
          </w:p>
        </w:tc>
        <w:tc>
          <w:tcPr>
            <w:tcW w:type="dxa" w:w="153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功能闭环形成后</w:t>
            </w:r>
          </w:p>
        </w:tc>
        <w:tc>
          <w:tcPr>
            <w:tcW w:type="dxa" w:w="215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UAT 结论、优化清单</w:t>
            </w:r>
          </w:p>
        </w:tc>
      </w:tr>
      <w:tr>
        <w:tc>
          <w:tcPr>
            <w:tcW w:type="dxa" w:w="136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T5 回归验收</w:t>
            </w:r>
          </w:p>
        </w:tc>
        <w:tc>
          <w:tcPr>
            <w:tcW w:type="dxa" w:w="226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验证变更未破坏既有能力，适合作为试运行前门禁</w:t>
            </w:r>
          </w:p>
        </w:tc>
        <w:tc>
          <w:tcPr>
            <w:tcW w:type="dxa" w:w="170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项目 Owner / 测试支持</w:t>
            </w:r>
          </w:p>
        </w:tc>
        <w:tc>
          <w:tcPr>
            <w:tcW w:type="dxa" w:w="153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每次较大合并或发布前</w:t>
            </w:r>
          </w:p>
        </w:tc>
        <w:tc>
          <w:tcPr>
            <w:tcW w:type="dxa" w:w="215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回归测试报告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5. 测试环境、账号与数据基线</w:t>
      </w:r>
    </w:p>
    <w:p>
      <w:pPr>
        <w:spacing w:line="319" w:lineRule="auto" w:after="80"/>
      </w:pPr>
      <w:r>
        <w:rPr>
          <w:rFonts w:eastAsia="Noto Sans CJK SC" w:ascii="Noto Sans CJK SC" w:hAnsi="Noto Sans CJK SC"/>
          <w:sz w:val="20"/>
        </w:rPr>
        <w:t>建议至少准备 DEV 与 TEST/UAT 两套环境。DEV 用于开发自测和局部联调；TEST/UAT 用于规则专项测试、完整业务链路走查和发布前回归。对于单人推进场景，可先在本地或 DEV 上完成底座验证，再将核心链路稳定版本提升到 TEST/UAT。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9C7D7"/>
          <w:left w:val="single" w:sz="8" w:space="0" w:color="B9C7D7"/>
          <w:bottom w:val="single" w:sz="8" w:space="0" w:color="B9C7D7"/>
          <w:right w:val="single" w:sz="8" w:space="0" w:color="B9C7D7"/>
          <w:insideH w:val="single" w:sz="8" w:space="0" w:color="B9C7D7"/>
          <w:insideV w:val="single" w:sz="8" w:space="0" w:color="B9C7D7"/>
        </w:tblBorders>
      </w:tblPr>
      <w:tblGrid>
        <w:gridCol w:w="4958"/>
        <w:gridCol w:w="4958"/>
      </w:tblGrid>
      <w:tr>
        <w:tc>
          <w:tcPr>
            <w:tcW w:type="dxa" w:w="1417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8"/>
              </w:rPr>
              <w:t>项</w:t>
            </w:r>
          </w:p>
        </w:tc>
        <w:tc>
          <w:tcPr>
            <w:tcW w:type="dxa" w:w="6803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8"/>
              </w:rPr>
              <w:t>基线要求</w:t>
            </w:r>
          </w:p>
        </w:tc>
      </w:tr>
      <w:tr>
        <w:tc>
          <w:tcPr>
            <w:tcW w:type="dxa" w:w="141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8"/>
              </w:rPr>
              <w:t>测试账号</w:t>
            </w:r>
          </w:p>
        </w:tc>
        <w:tc>
          <w:tcPr>
            <w:tcW w:type="dxa" w:w="680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8"/>
              </w:rPr>
              <w:t>至少准备 3 类账号：管理员、授权范围正常用户、无学校权限用户。必要时再增加两个学校范围不同的普通用户。</w:t>
            </w:r>
          </w:p>
        </w:tc>
      </w:tr>
      <w:tr>
        <w:tc>
          <w:tcPr>
            <w:tcW w:type="dxa" w:w="141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8"/>
              </w:rPr>
              <w:t>测试数据</w:t>
            </w:r>
          </w:p>
        </w:tc>
        <w:tc>
          <w:tcPr>
            <w:tcW w:type="dxa" w:w="680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8"/>
              </w:rPr>
              <w:t>需包含至少 2 个国家、4 所学校、教授/在读学生/已毕业学生/待确认四类角色、至少 1 条学校介绍缺失样本、至少 1 条学校别名归并样本。</w:t>
            </w:r>
          </w:p>
        </w:tc>
      </w:tr>
      <w:tr>
        <w:tc>
          <w:tcPr>
            <w:tcW w:type="dxa" w:w="141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8"/>
              </w:rPr>
              <w:t>批次数据</w:t>
            </w:r>
          </w:p>
        </w:tc>
        <w:tc>
          <w:tcPr>
            <w:tcW w:type="dxa" w:w="680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8"/>
              </w:rPr>
              <w:t>需准备“当前生效版本”与“新构建未切换版本”两种状态；同时保留 1 个失败批次样本，用于验证回滚与版本不切换。</w:t>
            </w:r>
          </w:p>
        </w:tc>
      </w:tr>
      <w:tr>
        <w:tc>
          <w:tcPr>
            <w:tcW w:type="dxa" w:w="141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8"/>
              </w:rPr>
              <w:t>日志与标识</w:t>
            </w:r>
          </w:p>
        </w:tc>
        <w:tc>
          <w:tcPr>
            <w:tcW w:type="dxa" w:w="680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8"/>
              </w:rPr>
              <w:t>接口需可看到 request_id；任务需可看到 batch_id、状态、开始/结束时间、错误原因与对象数。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AFC1D6"/>
          <w:left w:val="single" w:sz="8" w:space="0" w:color="AFC1D6"/>
          <w:bottom w:val="single" w:sz="8" w:space="0" w:color="AFC1D6"/>
          <w:right w:val="single" w:sz="8" w:space="0" w:color="AFC1D6"/>
          <w:insideH w:val="single" w:sz="8" w:space="0" w:color="AFC1D6"/>
          <w:insideV w:val="single" w:sz="8" w:space="0" w:color="AFC1D6"/>
        </w:tblBorders>
      </w:tblPr>
      <w:tblGrid>
        <w:gridCol w:w="9916"/>
      </w:tblGrid>
      <w:tr>
        <w:tc>
          <w:tcPr>
            <w:tcW w:type="dxa" w:w="9916"/>
            <w:shd w:fill="F4F7FB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eastAsia="Noto Sans CJK SC" w:ascii="Noto Sans CJK SC" w:hAnsi="Noto Sans CJK SC"/>
                <w:b/>
                <w:sz w:val="20"/>
              </w:rPr>
              <w:t>推荐的最小样本集</w:t>
            </w:r>
          </w:p>
          <w:p>
            <w:pPr>
              <w:spacing w:after="40"/>
              <w:ind w:left="295" w:hanging="181"/>
            </w:pPr>
            <w:r>
              <w:rPr>
                <w:rFonts w:eastAsia="Noto Sans CJK SC" w:ascii="Noto Sans CJK SC" w:hAnsi="Noto Sans CJK SC"/>
                <w:sz w:val="18"/>
              </w:rPr>
              <w:t>• 国家维度：至少包含两个国家，且两个用户的授权国家集合不同，便于验证国家目录受权限过滤。</w:t>
            </w:r>
          </w:p>
          <w:p>
            <w:pPr>
              <w:spacing w:after="40"/>
              <w:ind w:left="295" w:hanging="181"/>
            </w:pPr>
            <w:r>
              <w:rPr>
                <w:rFonts w:eastAsia="Noto Sans CJK SC" w:ascii="Noto Sans CJK SC" w:hAnsi="Noto Sans CJK SC"/>
                <w:sz w:val="18"/>
              </w:rPr>
              <w:t>• 学校维度：至少包含一所仅用户 A 可见学校、一所仅用户 B 可见学校、一所双方都可见学校。</w:t>
            </w:r>
          </w:p>
          <w:p>
            <w:pPr>
              <w:spacing w:after="40"/>
              <w:ind w:left="295" w:hanging="181"/>
            </w:pPr>
            <w:r>
              <w:rPr>
                <w:rFonts w:eastAsia="Noto Sans CJK SC" w:ascii="Noto Sans CJK SC" w:hAnsi="Noto Sans CJK SC"/>
                <w:sz w:val="18"/>
              </w:rPr>
              <w:t>• 角色维度：同一学校中同时存在教授、在读学生、已毕业学生与待确认对象，便于验证统计与列表展示。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6. 进入与退出标准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9C7D7"/>
          <w:left w:val="single" w:sz="8" w:space="0" w:color="B9C7D7"/>
          <w:bottom w:val="single" w:sz="8" w:space="0" w:color="B9C7D7"/>
          <w:right w:val="single" w:sz="8" w:space="0" w:color="B9C7D7"/>
          <w:insideH w:val="single" w:sz="8" w:space="0" w:color="B9C7D7"/>
          <w:insideV w:val="single" w:sz="8" w:space="0" w:color="B9C7D7"/>
        </w:tblBorders>
      </w:tblPr>
      <w:tblGrid>
        <w:gridCol w:w="3305"/>
        <w:gridCol w:w="3305"/>
        <w:gridCol w:w="3305"/>
      </w:tblGrid>
      <w:tr>
        <w:tc>
          <w:tcPr>
            <w:tcW w:type="dxa" w:w="1247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阶段</w:t>
            </w:r>
          </w:p>
        </w:tc>
        <w:tc>
          <w:tcPr>
            <w:tcW w:type="dxa" w:w="3458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进入标准</w:t>
            </w:r>
          </w:p>
        </w:tc>
        <w:tc>
          <w:tcPr>
            <w:tcW w:type="dxa" w:w="3458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退出标准</w:t>
            </w:r>
          </w:p>
        </w:tc>
      </w:tr>
      <w:tr>
        <w:tc>
          <w:tcPr>
            <w:tcW w:type="dxa" w:w="124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开发自测</w:t>
            </w:r>
          </w:p>
        </w:tc>
        <w:tc>
          <w:tcPr>
            <w:tcW w:type="dxa" w:w="345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任务包代码完成，migration / seed / run 命令可执行</w:t>
            </w:r>
          </w:p>
        </w:tc>
        <w:tc>
          <w:tcPr>
            <w:tcW w:type="dxa" w:w="345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关键 happy path 通过，已知问题可列明且不阻断主链路</w:t>
            </w:r>
          </w:p>
        </w:tc>
      </w:tr>
      <w:tr>
        <w:tc>
          <w:tcPr>
            <w:tcW w:type="dxa" w:w="124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联调测试</w:t>
            </w:r>
          </w:p>
        </w:tc>
        <w:tc>
          <w:tcPr>
            <w:tcW w:type="dxa" w:w="345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接口字段冻结，页面已接入真实或稳定 mock 接口</w:t>
            </w:r>
          </w:p>
        </w:tc>
        <w:tc>
          <w:tcPr>
            <w:tcW w:type="dxa" w:w="345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关键页面字段、状态和分页一致，主要交互可稳定复现</w:t>
            </w:r>
          </w:p>
        </w:tc>
      </w:tr>
      <w:tr>
        <w:tc>
          <w:tcPr>
            <w:tcW w:type="dxa" w:w="124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UAT</w:t>
            </w:r>
          </w:p>
        </w:tc>
        <w:tc>
          <w:tcPr>
            <w:tcW w:type="dxa" w:w="345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主链路功能闭环完成，权限规则与统计规则专项测试通过</w:t>
            </w:r>
          </w:p>
        </w:tc>
        <w:tc>
          <w:tcPr>
            <w:tcW w:type="dxa" w:w="345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业务试用方认可链路可用，P0 缺陷清零，P1 缺陷有处置计划</w:t>
            </w:r>
          </w:p>
        </w:tc>
      </w:tr>
      <w:tr>
        <w:tc>
          <w:tcPr>
            <w:tcW w:type="dxa" w:w="124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试运行前回归</w:t>
            </w:r>
          </w:p>
        </w:tc>
        <w:tc>
          <w:tcPr>
            <w:tcW w:type="dxa" w:w="345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待发布版本已冻结，变更列表明确</w:t>
            </w:r>
          </w:p>
        </w:tc>
        <w:tc>
          <w:tcPr>
            <w:tcW w:type="dxa" w:w="345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回归用例通过率达标，核心页面与任务无阻断问题，可进入试运行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7. 核心验收维度与通过标准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9C7D7"/>
          <w:left w:val="single" w:sz="8" w:space="0" w:color="B9C7D7"/>
          <w:bottom w:val="single" w:sz="8" w:space="0" w:color="B9C7D7"/>
          <w:right w:val="single" w:sz="8" w:space="0" w:color="B9C7D7"/>
          <w:insideH w:val="single" w:sz="8" w:space="0" w:color="B9C7D7"/>
          <w:insideV w:val="single" w:sz="8" w:space="0" w:color="B9C7D7"/>
        </w:tblBorders>
      </w:tblPr>
      <w:tblGrid>
        <w:gridCol w:w="4958"/>
        <w:gridCol w:w="4958"/>
      </w:tblGrid>
      <w:tr>
        <w:tc>
          <w:tcPr>
            <w:tcW w:type="dxa" w:w="1587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8"/>
              </w:rPr>
              <w:t>维度</w:t>
            </w:r>
          </w:p>
        </w:tc>
        <w:tc>
          <w:tcPr>
            <w:tcW w:type="dxa" w:w="6633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8"/>
              </w:rPr>
              <w:t>通过标准</w:t>
            </w:r>
          </w:p>
        </w:tc>
      </w:tr>
      <w:tr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8"/>
              </w:rPr>
              <w:t>功能闭环</w:t>
            </w:r>
          </w:p>
        </w:tc>
        <w:tc>
          <w:tcPr>
            <w:tcW w:type="dxa" w:w="66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8"/>
              </w:rPr>
              <w:t>能够完成“看总览 → 搜人或按国家看学校 → 进学校页 → 看人才列表 → 看详情 → 管理员配置权限”的完整链路；主要页面无致命阻断。</w:t>
            </w:r>
          </w:p>
        </w:tc>
      </w:tr>
      <w:tr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8"/>
              </w:rPr>
              <w:t>权限正确性</w:t>
            </w:r>
          </w:p>
        </w:tc>
        <w:tc>
          <w:tcPr>
            <w:tcW w:type="dxa" w:w="66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8"/>
              </w:rPr>
              <w:t>总览、目录、学校页、列表、搜索、详情和管理页口径一致；无权限用户不能通过 URL、搜索或接口越权查看。</w:t>
            </w:r>
          </w:p>
        </w:tc>
      </w:tr>
      <w:tr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8"/>
              </w:rPr>
              <w:t>统计一致性</w:t>
            </w:r>
          </w:p>
        </w:tc>
        <w:tc>
          <w:tcPr>
            <w:tcW w:type="dxa" w:w="66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8"/>
              </w:rPr>
              <w:t>首页、学校页和人才列表统计口径一致；待确认不误并入教授或学生；版本切换后更新时间同步刷新。</w:t>
            </w:r>
          </w:p>
        </w:tc>
      </w:tr>
      <w:tr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8"/>
              </w:rPr>
              <w:t>版本安全性</w:t>
            </w:r>
          </w:p>
        </w:tc>
        <w:tc>
          <w:tcPr>
            <w:tcW w:type="dxa" w:w="66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8"/>
              </w:rPr>
              <w:t>失败批次不切为生效版本；前台始终读取最后一个成功版本；重跑成功后可安全切换。</w:t>
            </w:r>
          </w:p>
        </w:tc>
      </w:tr>
      <w:tr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8"/>
              </w:rPr>
              <w:t>页面状态完整性</w:t>
            </w:r>
          </w:p>
        </w:tc>
        <w:tc>
          <w:tcPr>
            <w:tcW w:type="dxa" w:w="66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8"/>
              </w:rPr>
              <w:t>至少支持 loading / empty / error / no-permission / data-preparing 等可识别状态，不出现空白页误导。</w:t>
            </w:r>
          </w:p>
        </w:tc>
      </w:tr>
      <w:tr>
        <w:tc>
          <w:tcPr>
            <w:tcW w:type="dxa" w:w="158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8"/>
              </w:rPr>
              <w:t>工程可维护性</w:t>
            </w:r>
          </w:p>
        </w:tc>
        <w:tc>
          <w:tcPr>
            <w:tcW w:type="dxa" w:w="66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8"/>
              </w:rPr>
              <w:t>日志、批次、审计、配置与脚本可追踪；迁移、seed、sync、build、test 的标准命令可执行。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8. 用例目录总表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9C7D7"/>
          <w:left w:val="single" w:sz="8" w:space="0" w:color="B9C7D7"/>
          <w:bottom w:val="single" w:sz="8" w:space="0" w:color="B9C7D7"/>
          <w:right w:val="single" w:sz="8" w:space="0" w:color="B9C7D7"/>
          <w:insideH w:val="single" w:sz="8" w:space="0" w:color="B9C7D7"/>
          <w:insideV w:val="single" w:sz="8" w:space="0" w:color="B9C7D7"/>
        </w:tblBorders>
      </w:tblPr>
      <w:tblGrid>
        <w:gridCol w:w="2479"/>
        <w:gridCol w:w="2479"/>
        <w:gridCol w:w="2479"/>
        <w:gridCol w:w="2479"/>
      </w:tblGrid>
      <w:tr>
        <w:tc>
          <w:tcPr>
            <w:tcW w:type="dxa" w:w="1020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用例ID</w:t>
            </w:r>
          </w:p>
        </w:tc>
        <w:tc>
          <w:tcPr>
            <w:tcW w:type="dxa" w:w="1134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模块</w:t>
            </w:r>
          </w:p>
        </w:tc>
        <w:tc>
          <w:tcPr>
            <w:tcW w:type="dxa" w:w="2494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场景</w:t>
            </w:r>
          </w:p>
        </w:tc>
        <w:tc>
          <w:tcPr>
            <w:tcW w:type="dxa" w:w="4592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通过标准摘要</w:t>
            </w:r>
          </w:p>
        </w:tc>
      </w:tr>
      <w:tr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TC-01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总览</w:t>
            </w:r>
          </w:p>
        </w:tc>
        <w:tc>
          <w:tcPr>
            <w:tcW w:type="dxa" w:w="249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授权用户进入首页</w:t>
            </w:r>
          </w:p>
        </w:tc>
        <w:tc>
          <w:tcPr>
            <w:tcW w:type="dxa" w:w="459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可返回高校数/教授数/学生数/更新时间，并显示搜索入口与学校浏览入口</w:t>
            </w:r>
          </w:p>
        </w:tc>
      </w:tr>
      <w:tr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TC-02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总览</w:t>
            </w:r>
          </w:p>
        </w:tc>
        <w:tc>
          <w:tcPr>
            <w:tcW w:type="dxa" w:w="249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无学校权限用户进入首页</w:t>
            </w:r>
          </w:p>
        </w:tc>
        <w:tc>
          <w:tcPr>
            <w:tcW w:type="dxa" w:w="459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展示“未配置可查看院校范围”或等价无权限态，不展示误导性全库 0 值</w:t>
            </w:r>
          </w:p>
        </w:tc>
      </w:tr>
      <w:tr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TC-03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目录</w:t>
            </w:r>
          </w:p>
        </w:tc>
        <w:tc>
          <w:tcPr>
            <w:tcW w:type="dxa" w:w="249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按国家查看学校</w:t>
            </w:r>
          </w:p>
        </w:tc>
        <w:tc>
          <w:tcPr>
            <w:tcW w:type="dxa" w:w="459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仅返回授权范围内有学校数据的国家；国家展开后仅含授权学校</w:t>
            </w:r>
          </w:p>
        </w:tc>
      </w:tr>
      <w:tr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TC-04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目录</w:t>
            </w:r>
          </w:p>
        </w:tc>
        <w:tc>
          <w:tcPr>
            <w:tcW w:type="dxa" w:w="249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学校信息缺失样本</w:t>
            </w:r>
          </w:p>
        </w:tc>
        <w:tc>
          <w:tcPr>
            <w:tcW w:type="dxa" w:w="459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学校介绍缺失时展示“信息待补充”，但仍可进入学校页与人才列表</w:t>
            </w:r>
          </w:p>
        </w:tc>
      </w:tr>
      <w:tr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TC-05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学校页</w:t>
            </w:r>
          </w:p>
        </w:tc>
        <w:tc>
          <w:tcPr>
            <w:tcW w:type="dxa" w:w="249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学校详情正常加载</w:t>
            </w:r>
          </w:p>
        </w:tc>
        <w:tc>
          <w:tcPr>
            <w:tcW w:type="dxa" w:w="459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展示学校名称、国家/地区、介绍、教授数、学生数及进入列表入口</w:t>
            </w:r>
          </w:p>
        </w:tc>
      </w:tr>
      <w:tr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TC-06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学校页</w:t>
            </w:r>
          </w:p>
        </w:tc>
        <w:tc>
          <w:tcPr>
            <w:tcW w:type="dxa" w:w="249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无权限直达学校页</w:t>
            </w:r>
          </w:p>
        </w:tc>
        <w:tc>
          <w:tcPr>
            <w:tcW w:type="dxa" w:w="459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返回无权限或统一拒绝态，不能通过 URL 绕过</w:t>
            </w:r>
          </w:p>
        </w:tc>
      </w:tr>
      <w:tr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TC-07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人才列表</w:t>
            </w:r>
          </w:p>
        </w:tc>
        <w:tc>
          <w:tcPr>
            <w:tcW w:type="dxa" w:w="249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学校上下文列表</w:t>
            </w:r>
          </w:p>
        </w:tc>
        <w:tc>
          <w:tcPr>
            <w:tcW w:type="dxa" w:w="459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正确分页、角色标签正确、列表数量与学校页口径一致</w:t>
            </w:r>
          </w:p>
        </w:tc>
      </w:tr>
      <w:tr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TC-08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人才列表</w:t>
            </w:r>
          </w:p>
        </w:tc>
        <w:tc>
          <w:tcPr>
            <w:tcW w:type="dxa" w:w="249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待确认角色样本</w:t>
            </w:r>
          </w:p>
        </w:tc>
        <w:tc>
          <w:tcPr>
            <w:tcW w:type="dxa" w:w="459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展示“待确认”标签，不强行归入教授或学生</w:t>
            </w:r>
          </w:p>
        </w:tc>
      </w:tr>
      <w:tr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TC-09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搜索</w:t>
            </w:r>
          </w:p>
        </w:tc>
        <w:tc>
          <w:tcPr>
            <w:tcW w:type="dxa" w:w="249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姓名/学校/方向关键字搜索</w:t>
            </w:r>
          </w:p>
        </w:tc>
        <w:tc>
          <w:tcPr>
            <w:tcW w:type="dxa" w:w="459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按“命中候选→权限过滤→排序→分页”返回；空搜索不扫全库</w:t>
            </w:r>
          </w:p>
        </w:tc>
      </w:tr>
      <w:tr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TC-10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搜索</w:t>
            </w:r>
          </w:p>
        </w:tc>
        <w:tc>
          <w:tcPr>
            <w:tcW w:type="dxa" w:w="249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无权限命中样本</w:t>
            </w:r>
          </w:p>
        </w:tc>
        <w:tc>
          <w:tcPr>
            <w:tcW w:type="dxa" w:w="459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即使搜索命中未授权对象，也不返回未授权学校/人才</w:t>
            </w:r>
          </w:p>
        </w:tc>
      </w:tr>
      <w:tr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TC-11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人才详情</w:t>
            </w:r>
          </w:p>
        </w:tc>
        <w:tc>
          <w:tcPr>
            <w:tcW w:type="dxa" w:w="249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授权用户查看详情</w:t>
            </w:r>
          </w:p>
        </w:tc>
        <w:tc>
          <w:tcPr>
            <w:tcW w:type="dxa" w:w="459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返回结构化画像、代表成果、方向标签和基础关系摘要</w:t>
            </w:r>
          </w:p>
        </w:tc>
      </w:tr>
      <w:tr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TC-12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人才详情</w:t>
            </w:r>
          </w:p>
        </w:tc>
        <w:tc>
          <w:tcPr>
            <w:tcW w:type="dxa" w:w="249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无权限直达详情</w:t>
            </w:r>
          </w:p>
        </w:tc>
        <w:tc>
          <w:tcPr>
            <w:tcW w:type="dxa" w:w="459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统一拒绝，不暴露对象存在与否的敏感细节</w:t>
            </w:r>
          </w:p>
        </w:tc>
      </w:tr>
      <w:tr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TC-13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权限管理</w:t>
            </w:r>
          </w:p>
        </w:tc>
        <w:tc>
          <w:tcPr>
            <w:tcW w:type="dxa" w:w="249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管理员配置学校范围</w:t>
            </w:r>
          </w:p>
        </w:tc>
        <w:tc>
          <w:tcPr>
            <w:tcW w:type="dxa" w:w="459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保存成功、用户视角立即生效，并产生审计日志</w:t>
            </w:r>
          </w:p>
        </w:tc>
      </w:tr>
      <w:tr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TC-14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权限管理</w:t>
            </w:r>
          </w:p>
        </w:tc>
        <w:tc>
          <w:tcPr>
            <w:tcW w:type="dxa" w:w="249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非管理员访问管理页或接口</w:t>
            </w:r>
          </w:p>
        </w:tc>
        <w:tc>
          <w:tcPr>
            <w:tcW w:type="dxa" w:w="459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拒绝访问，且不返回可配置数据</w:t>
            </w:r>
          </w:p>
        </w:tc>
      </w:tr>
      <w:tr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TC-15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同步构建</w:t>
            </w:r>
          </w:p>
        </w:tc>
        <w:tc>
          <w:tcPr>
            <w:tcW w:type="dxa" w:w="249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成功跑通全链路构建</w:t>
            </w:r>
          </w:p>
        </w:tc>
        <w:tc>
          <w:tcPr>
            <w:tcW w:type="dxa" w:w="459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生成 school/talent/role/stat/search projection，并可被前台读取</w:t>
            </w:r>
          </w:p>
        </w:tc>
      </w:tr>
      <w:tr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TC-16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同步构建</w:t>
            </w:r>
          </w:p>
        </w:tc>
        <w:tc>
          <w:tcPr>
            <w:tcW w:type="dxa" w:w="249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模拟来源同步失败</w:t>
            </w:r>
          </w:p>
        </w:tc>
        <w:tc>
          <w:tcPr>
            <w:tcW w:type="dxa" w:w="459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批次标记失败，当前线上可用版本不受影响</w:t>
            </w:r>
          </w:p>
        </w:tc>
      </w:tr>
      <w:tr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TC-17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版本切换</w:t>
            </w:r>
          </w:p>
        </w:tc>
        <w:tc>
          <w:tcPr>
            <w:tcW w:type="dxa" w:w="249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构建完成后切换生效版本</w:t>
            </w:r>
          </w:p>
        </w:tc>
        <w:tc>
          <w:tcPr>
            <w:tcW w:type="dxa" w:w="459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首页、目录、学校页、列表、详情统一读取新版本</w:t>
            </w:r>
          </w:p>
        </w:tc>
      </w:tr>
      <w:tr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TC-18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规则专项</w:t>
            </w:r>
          </w:p>
        </w:tc>
        <w:tc>
          <w:tcPr>
            <w:tcW w:type="dxa" w:w="249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学校别名归并</w:t>
            </w:r>
          </w:p>
        </w:tc>
        <w:tc>
          <w:tcPr>
            <w:tcW w:type="dxa" w:w="459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同校别名归为同一 school，对统计和目录不重复</w:t>
            </w:r>
          </w:p>
        </w:tc>
      </w:tr>
      <w:tr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TC-19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页面状态</w:t>
            </w:r>
          </w:p>
        </w:tc>
        <w:tc>
          <w:tcPr>
            <w:tcW w:type="dxa" w:w="249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统计未就绪/数据准备中</w:t>
            </w:r>
          </w:p>
        </w:tc>
        <w:tc>
          <w:tcPr>
            <w:tcW w:type="dxa" w:w="459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首页与学校页返回明确状态，不阻断搜索与目录入口</w:t>
            </w:r>
          </w:p>
        </w:tc>
      </w:tr>
      <w:tr>
        <w:tc>
          <w:tcPr>
            <w:tcW w:type="dxa" w:w="10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TC-20</w:t>
            </w:r>
          </w:p>
        </w:tc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回归</w:t>
            </w:r>
          </w:p>
        </w:tc>
        <w:tc>
          <w:tcPr>
            <w:tcW w:type="dxa" w:w="249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关键链路回归</w:t>
            </w:r>
          </w:p>
        </w:tc>
        <w:tc>
          <w:tcPr>
            <w:tcW w:type="dxa" w:w="459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发布前复跑主链路与高风险规则，无 P0 阻断问题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9. 关键详细用例</w:t>
      </w:r>
    </w:p>
    <w:p>
      <w:pPr>
        <w:pStyle w:val="Heading2"/>
      </w:pPr>
      <w:r>
        <w:rPr>
          <w:rFonts w:eastAsia="Noto Sans CJK SC" w:ascii="Noto Sans CJK SC" w:hAnsi="Noto Sans CJK SC"/>
        </w:rPr>
        <w:t>TC-01 首页总览—授权用户</w:t>
      </w:r>
    </w:p>
    <w:p>
      <w:pPr>
        <w:spacing w:line="319" w:lineRule="auto" w:after="80"/>
      </w:pPr>
      <w:r>
        <w:rPr>
          <w:rFonts w:eastAsia="Noto Sans CJK SC" w:ascii="Noto Sans CJK SC" w:hAnsi="Noto Sans CJK SC"/>
          <w:sz w:val="20"/>
        </w:rPr>
        <w:t>前置条件：用户 U1 已授权 3 所学校；当前生效版本统计快照已生成。</w:t>
      </w:r>
    </w:p>
    <w:p>
      <w:pPr>
        <w:spacing w:line="319" w:lineRule="auto" w:after="80"/>
      </w:pPr>
      <w:r>
        <w:rPr>
          <w:rFonts w:eastAsia="Noto Sans CJK SC" w:ascii="Noto Sans CJK SC" w:hAnsi="Noto Sans CJK SC"/>
          <w:sz w:val="20"/>
        </w:rPr>
        <w:t>步骤：1）U1 登录进入首页；2）观察高校数/教授数/学生数/更新时间；3）记录 request_id。</w:t>
      </w:r>
    </w:p>
    <w:p>
      <w:pPr>
        <w:spacing w:line="319" w:lineRule="auto" w:after="80"/>
      </w:pPr>
      <w:r>
        <w:rPr>
          <w:rFonts w:eastAsia="Noto Sans CJK SC" w:ascii="Noto Sans CJK SC" w:hAnsi="Noto Sans CJK SC"/>
          <w:sz w:val="20"/>
        </w:rPr>
        <w:t>预期：返回的学校数、教授数、学生数只基于 U1 授权学校聚合；更新时间与当前版本一致；页面不出现 0 值误导。</w:t>
      </w:r>
    </w:p>
    <w:p>
      <w:pPr>
        <w:pStyle w:val="Heading2"/>
      </w:pPr>
      <w:r>
        <w:rPr>
          <w:rFonts w:eastAsia="Noto Sans CJK SC" w:ascii="Noto Sans CJK SC" w:hAnsi="Noto Sans CJK SC"/>
        </w:rPr>
        <w:t>TC-03 国家/学校目录—权限过滤</w:t>
      </w:r>
    </w:p>
    <w:p>
      <w:pPr>
        <w:spacing w:line="319" w:lineRule="auto" w:after="80"/>
      </w:pPr>
      <w:r>
        <w:rPr>
          <w:rFonts w:eastAsia="Noto Sans CJK SC" w:ascii="Noto Sans CJK SC" w:hAnsi="Noto Sans CJK SC"/>
          <w:sz w:val="20"/>
        </w:rPr>
        <w:t>前置条件：国家 A、B 均有学校，U1 仅授权国家 A 下部分学校。</w:t>
      </w:r>
    </w:p>
    <w:p>
      <w:pPr>
        <w:spacing w:line="319" w:lineRule="auto" w:after="80"/>
      </w:pPr>
      <w:r>
        <w:rPr>
          <w:rFonts w:eastAsia="Noto Sans CJK SC" w:ascii="Noto Sans CJK SC" w:hAnsi="Noto Sans CJK SC"/>
          <w:sz w:val="20"/>
        </w:rPr>
        <w:t>步骤：1）进入目录页；2）查看国家列表；3）展开学校目录；4）尝试通过关键字搜索另一国家学校。</w:t>
      </w:r>
    </w:p>
    <w:p>
      <w:pPr>
        <w:spacing w:line="319" w:lineRule="auto" w:after="80"/>
      </w:pPr>
      <w:r>
        <w:rPr>
          <w:rFonts w:eastAsia="Noto Sans CJK SC" w:ascii="Noto Sans CJK SC" w:hAnsi="Noto Sans CJK SC"/>
          <w:sz w:val="20"/>
        </w:rPr>
        <w:t>预期：仅显示授权范围内存在学校的国家；未授权学校不会因关键字命中而出现。</w:t>
      </w:r>
    </w:p>
    <w:p>
      <w:pPr>
        <w:pStyle w:val="Heading2"/>
      </w:pPr>
      <w:r>
        <w:rPr>
          <w:rFonts w:eastAsia="Noto Sans CJK SC" w:ascii="Noto Sans CJK SC" w:hAnsi="Noto Sans CJK SC"/>
        </w:rPr>
        <w:t>TC-07 人才列表—学校上下文</w:t>
      </w:r>
    </w:p>
    <w:p>
      <w:pPr>
        <w:spacing w:line="319" w:lineRule="auto" w:after="80"/>
      </w:pPr>
      <w:r>
        <w:rPr>
          <w:rFonts w:eastAsia="Noto Sans CJK SC" w:ascii="Noto Sans CJK SC" w:hAnsi="Noto Sans CJK SC"/>
          <w:sz w:val="20"/>
        </w:rPr>
        <w:t>前置条件：学校 S1 下有教授、在读学生、已毕业学生、待确认对象。</w:t>
      </w:r>
    </w:p>
    <w:p>
      <w:pPr>
        <w:spacing w:line="319" w:lineRule="auto" w:after="80"/>
      </w:pPr>
      <w:r>
        <w:rPr>
          <w:rFonts w:eastAsia="Noto Sans CJK SC" w:ascii="Noto Sans CJK SC" w:hAnsi="Noto Sans CJK SC"/>
          <w:sz w:val="20"/>
        </w:rPr>
        <w:t>步骤：1）进入 S1 学校页；2）点击教授视图和学生视图；3）切换分页。</w:t>
      </w:r>
    </w:p>
    <w:p>
      <w:pPr>
        <w:spacing w:line="319" w:lineRule="auto" w:after="80"/>
      </w:pPr>
      <w:r>
        <w:rPr>
          <w:rFonts w:eastAsia="Noto Sans CJK SC" w:ascii="Noto Sans CJK SC" w:hAnsi="Noto Sans CJK SC"/>
          <w:sz w:val="20"/>
        </w:rPr>
        <w:t>预期：教授视图与学生视图的数据集正确；待确认对象按规则展示；分页总数与学校统计口径一致。</w:t>
      </w:r>
    </w:p>
    <w:p>
      <w:pPr>
        <w:pStyle w:val="Heading2"/>
      </w:pPr>
      <w:r>
        <w:rPr>
          <w:rFonts w:eastAsia="Noto Sans CJK SC" w:ascii="Noto Sans CJK SC" w:hAnsi="Noto Sans CJK SC"/>
        </w:rPr>
        <w:t>TC-10 搜索—命中但无权限</w:t>
      </w:r>
    </w:p>
    <w:p>
      <w:pPr>
        <w:spacing w:line="319" w:lineRule="auto" w:after="80"/>
      </w:pPr>
      <w:r>
        <w:rPr>
          <w:rFonts w:eastAsia="Noto Sans CJK SC" w:ascii="Noto Sans CJK SC" w:hAnsi="Noto Sans CJK SC"/>
          <w:sz w:val="20"/>
        </w:rPr>
        <w:t>前置条件：关键字 K 可命中 U2 无权限查看的人才。</w:t>
      </w:r>
    </w:p>
    <w:p>
      <w:pPr>
        <w:spacing w:line="319" w:lineRule="auto" w:after="80"/>
      </w:pPr>
      <w:r>
        <w:rPr>
          <w:rFonts w:eastAsia="Noto Sans CJK SC" w:ascii="Noto Sans CJK SC" w:hAnsi="Noto Sans CJK SC"/>
          <w:sz w:val="20"/>
        </w:rPr>
        <w:t>步骤：1）U2 输入关键字 K；2）查看返回列表；3）尝试直接访问详情接口。</w:t>
      </w:r>
    </w:p>
    <w:p>
      <w:pPr>
        <w:spacing w:line="319" w:lineRule="auto" w:after="80"/>
      </w:pPr>
      <w:r>
        <w:rPr>
          <w:rFonts w:eastAsia="Noto Sans CJK SC" w:ascii="Noto Sans CJK SC" w:hAnsi="Noto Sans CJK SC"/>
          <w:sz w:val="20"/>
        </w:rPr>
        <w:t>预期：搜索结果不返回未授权对象；详情接口统一拒绝；不通过 message 暴露敏感对象信息。</w:t>
      </w:r>
    </w:p>
    <w:p>
      <w:pPr>
        <w:pStyle w:val="Heading2"/>
      </w:pPr>
      <w:r>
        <w:rPr>
          <w:rFonts w:eastAsia="Noto Sans CJK SC" w:ascii="Noto Sans CJK SC" w:hAnsi="Noto Sans CJK SC"/>
        </w:rPr>
        <w:t>TC-13 权限配置—即时生效</w:t>
      </w:r>
    </w:p>
    <w:p>
      <w:pPr>
        <w:spacing w:line="319" w:lineRule="auto" w:after="80"/>
      </w:pPr>
      <w:r>
        <w:rPr>
          <w:rFonts w:eastAsia="Noto Sans CJK SC" w:ascii="Noto Sans CJK SC" w:hAnsi="Noto Sans CJK SC"/>
          <w:sz w:val="20"/>
        </w:rPr>
        <w:t>前置条件：管理员账号可访问权限配置页，用户 U3 初始无学校权限。</w:t>
      </w:r>
    </w:p>
    <w:p>
      <w:pPr>
        <w:spacing w:line="319" w:lineRule="auto" w:after="80"/>
      </w:pPr>
      <w:r>
        <w:rPr>
          <w:rFonts w:eastAsia="Noto Sans CJK SC" w:ascii="Noto Sans CJK SC" w:hAnsi="Noto Sans CJK SC"/>
          <w:sz w:val="20"/>
        </w:rPr>
        <w:t>步骤：1）管理员给 U3 配置两所学校；2）保存；3）U3 刷新首页与目录页；4）查看审计日志。</w:t>
      </w:r>
    </w:p>
    <w:p>
      <w:pPr>
        <w:spacing w:line="319" w:lineRule="auto" w:after="80"/>
      </w:pPr>
      <w:r>
        <w:rPr>
          <w:rFonts w:eastAsia="Noto Sans CJK SC" w:ascii="Noto Sans CJK SC" w:hAnsi="Noto Sans CJK SC"/>
          <w:sz w:val="20"/>
        </w:rPr>
        <w:t>预期：U3 立即可见新增学校范围；首页与目录统计同步变化；审计日志可追溯到本次配置。</w:t>
      </w:r>
    </w:p>
    <w:p>
      <w:pPr>
        <w:pStyle w:val="Heading2"/>
      </w:pPr>
      <w:r>
        <w:rPr>
          <w:rFonts w:eastAsia="Noto Sans CJK SC" w:ascii="Noto Sans CJK SC" w:hAnsi="Noto Sans CJK SC"/>
        </w:rPr>
        <w:t>TC-16 同步失败—旧版本继续服务</w:t>
      </w:r>
    </w:p>
    <w:p>
      <w:pPr>
        <w:spacing w:line="319" w:lineRule="auto" w:after="80"/>
      </w:pPr>
      <w:r>
        <w:rPr>
          <w:rFonts w:eastAsia="Noto Sans CJK SC" w:ascii="Noto Sans CJK SC" w:hAnsi="Noto Sans CJK SC"/>
          <w:sz w:val="20"/>
        </w:rPr>
        <w:t>前置条件：当前生效版本 V1 正常服务；新批次 B2 拉取或构建故意失败。</w:t>
      </w:r>
    </w:p>
    <w:p>
      <w:pPr>
        <w:spacing w:line="319" w:lineRule="auto" w:after="80"/>
      </w:pPr>
      <w:r>
        <w:rPr>
          <w:rFonts w:eastAsia="Noto Sans CJK SC" w:ascii="Noto Sans CJK SC" w:hAnsi="Noto Sans CJK SC"/>
          <w:sz w:val="20"/>
        </w:rPr>
        <w:t>步骤：1）触发 B2；2）观察任务状态；3）再次访问首页和学校页。</w:t>
      </w:r>
    </w:p>
    <w:p>
      <w:pPr>
        <w:spacing w:line="319" w:lineRule="auto" w:after="80"/>
      </w:pPr>
      <w:r>
        <w:rPr>
          <w:rFonts w:eastAsia="Noto Sans CJK SC" w:ascii="Noto Sans CJK SC" w:hAnsi="Noto Sans CJK SC"/>
          <w:sz w:val="20"/>
        </w:rPr>
        <w:t>预期：B2 标记失败并记录原因；前台继续读取 V1；页面更新时间不被错误刷新。</w:t>
      </w:r>
    </w:p>
    <w:p>
      <w:pPr>
        <w:pStyle w:val="Heading2"/>
      </w:pPr>
      <w:r>
        <w:rPr>
          <w:rFonts w:eastAsia="Noto Sans CJK SC" w:ascii="Noto Sans CJK SC" w:hAnsi="Noto Sans CJK SC"/>
        </w:rPr>
        <w:t>TC-17 版本切换—全页面一致</w:t>
      </w:r>
    </w:p>
    <w:p>
      <w:pPr>
        <w:spacing w:line="319" w:lineRule="auto" w:after="80"/>
      </w:pPr>
      <w:r>
        <w:rPr>
          <w:rFonts w:eastAsia="Noto Sans CJK SC" w:ascii="Noto Sans CJK SC" w:hAnsi="Noto Sans CJK SC"/>
          <w:sz w:val="20"/>
        </w:rPr>
        <w:t>前置条件：新版本 V2 构建完成并待切换。</w:t>
      </w:r>
    </w:p>
    <w:p>
      <w:pPr>
        <w:spacing w:line="319" w:lineRule="auto" w:after="80"/>
      </w:pPr>
      <w:r>
        <w:rPr>
          <w:rFonts w:eastAsia="Noto Sans CJK SC" w:ascii="Noto Sans CJK SC" w:hAnsi="Noto Sans CJK SC"/>
          <w:sz w:val="20"/>
        </w:rPr>
        <w:t>步骤：1）执行切换；2）依次访问首页、目录、学校页、列表、详情；3）核对 generated_at/stat_version。</w:t>
      </w:r>
    </w:p>
    <w:p>
      <w:pPr>
        <w:spacing w:line="319" w:lineRule="auto" w:after="80"/>
      </w:pPr>
      <w:r>
        <w:rPr>
          <w:rFonts w:eastAsia="Noto Sans CJK SC" w:ascii="Noto Sans CJK SC" w:hAnsi="Noto Sans CJK SC"/>
          <w:sz w:val="20"/>
        </w:rPr>
        <w:t>预期：所有页面读取同一生效版本；不出现首页是 V2、学校页仍是 V1 的情况。</w:t>
      </w:r>
    </w:p>
    <w:p>
      <w:pPr>
        <w:pStyle w:val="Heading1"/>
      </w:pPr>
      <w:r>
        <w:rPr>
          <w:rFonts w:eastAsia="Noto Sans CJK SC" w:ascii="Noto Sans CJK SC" w:hAnsi="Noto Sans CJK SC"/>
        </w:rPr>
        <w:t>10. 非功能测试关注点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9C7D7"/>
          <w:left w:val="single" w:sz="8" w:space="0" w:color="B9C7D7"/>
          <w:bottom w:val="single" w:sz="8" w:space="0" w:color="B9C7D7"/>
          <w:right w:val="single" w:sz="8" w:space="0" w:color="B9C7D7"/>
          <w:insideH w:val="single" w:sz="8" w:space="0" w:color="B9C7D7"/>
          <w:insideV w:val="single" w:sz="8" w:space="0" w:color="B9C7D7"/>
        </w:tblBorders>
      </w:tblPr>
      <w:tblGrid>
        <w:gridCol w:w="3305"/>
        <w:gridCol w:w="3305"/>
        <w:gridCol w:w="3305"/>
      </w:tblGrid>
      <w:tr>
        <w:tc>
          <w:tcPr>
            <w:tcW w:type="dxa" w:w="1191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维度</w:t>
            </w:r>
          </w:p>
        </w:tc>
        <w:tc>
          <w:tcPr>
            <w:tcW w:type="dxa" w:w="4025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建议检查项</w:t>
            </w:r>
          </w:p>
        </w:tc>
        <w:tc>
          <w:tcPr>
            <w:tcW w:type="dxa" w:w="2835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通过要求</w:t>
            </w:r>
          </w:p>
        </w:tc>
      </w:tr>
      <w:tr>
        <w:tc>
          <w:tcPr>
            <w:tcW w:type="dxa" w:w="119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性能</w:t>
            </w:r>
          </w:p>
        </w:tc>
        <w:tc>
          <w:tcPr>
            <w:tcW w:type="dxa" w:w="402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首页、目录、学校页、搜索、详情在测试样本规模下的响应时间</w:t>
            </w:r>
          </w:p>
        </w:tc>
        <w:tc>
          <w:tcPr>
            <w:tcW w:type="dxa" w:w="283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内部试用可接受，无明显卡顿；慢查询可定位到接口或任务环节</w:t>
            </w:r>
          </w:p>
        </w:tc>
      </w:tr>
      <w:tr>
        <w:tc>
          <w:tcPr>
            <w:tcW w:type="dxa" w:w="119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稳定性</w:t>
            </w:r>
          </w:p>
        </w:tc>
        <w:tc>
          <w:tcPr>
            <w:tcW w:type="dxa" w:w="402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重复进入主链路页面、连续执行查询、构建任务失败重试</w:t>
            </w:r>
          </w:p>
        </w:tc>
        <w:tc>
          <w:tcPr>
            <w:tcW w:type="dxa" w:w="283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关键链路不因单个失败整体中断；异常可识别、可恢复</w:t>
            </w:r>
          </w:p>
        </w:tc>
      </w:tr>
      <w:tr>
        <w:tc>
          <w:tcPr>
            <w:tcW w:type="dxa" w:w="119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日志追踪</w:t>
            </w:r>
          </w:p>
        </w:tc>
        <w:tc>
          <w:tcPr>
            <w:tcW w:type="dxa" w:w="402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request_id、batch_id、管理员审计日志、失败原因</w:t>
            </w:r>
          </w:p>
        </w:tc>
        <w:tc>
          <w:tcPr>
            <w:tcW w:type="dxa" w:w="283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能通过日志快速定位接口问题、任务问题和权限变更</w:t>
            </w:r>
          </w:p>
        </w:tc>
      </w:tr>
      <w:tr>
        <w:tc>
          <w:tcPr>
            <w:tcW w:type="dxa" w:w="119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可维护性</w:t>
            </w:r>
          </w:p>
        </w:tc>
        <w:tc>
          <w:tcPr>
            <w:tcW w:type="dxa" w:w="402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migration、seed、sync、build、test 脚本可执行</w:t>
            </w:r>
          </w:p>
        </w:tc>
        <w:tc>
          <w:tcPr>
            <w:tcW w:type="dxa" w:w="283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新成员或 Claude Code 接手时能按标准命令完成复现</w:t>
            </w:r>
          </w:p>
        </w:tc>
      </w:tr>
      <w:tr>
        <w:tc>
          <w:tcPr>
            <w:tcW w:type="dxa" w:w="119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UX/UI</w:t>
            </w:r>
          </w:p>
        </w:tc>
        <w:tc>
          <w:tcPr>
            <w:tcW w:type="dxa" w:w="402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字号、层级、状态反馈、空态/异常态提示、表格/卡片可读性</w:t>
            </w:r>
          </w:p>
        </w:tc>
        <w:tc>
          <w:tcPr>
            <w:tcW w:type="dxa" w:w="283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达到企业级正式系统的基本可用性标准，不出现 demo 感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11. 缺陷分级与处置原则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9C7D7"/>
          <w:left w:val="single" w:sz="8" w:space="0" w:color="B9C7D7"/>
          <w:bottom w:val="single" w:sz="8" w:space="0" w:color="B9C7D7"/>
          <w:right w:val="single" w:sz="8" w:space="0" w:color="B9C7D7"/>
          <w:insideH w:val="single" w:sz="8" w:space="0" w:color="B9C7D7"/>
          <w:insideV w:val="single" w:sz="8" w:space="0" w:color="B9C7D7"/>
        </w:tblBorders>
      </w:tblPr>
      <w:tblGrid>
        <w:gridCol w:w="3305"/>
        <w:gridCol w:w="3305"/>
        <w:gridCol w:w="3305"/>
      </w:tblGrid>
      <w:tr>
        <w:tc>
          <w:tcPr>
            <w:tcW w:type="dxa" w:w="907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级别</w:t>
            </w:r>
          </w:p>
        </w:tc>
        <w:tc>
          <w:tcPr>
            <w:tcW w:type="dxa" w:w="3515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定义</w:t>
            </w:r>
          </w:p>
        </w:tc>
        <w:tc>
          <w:tcPr>
            <w:tcW w:type="dxa" w:w="3628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处理原则</w:t>
            </w:r>
          </w:p>
        </w:tc>
      </w:tr>
      <w:tr>
        <w:tc>
          <w:tcPr>
            <w:tcW w:type="dxa" w:w="90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P0</w:t>
            </w:r>
          </w:p>
        </w:tc>
        <w:tc>
          <w:tcPr>
            <w:tcW w:type="dxa" w:w="351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阻断核心链路、存在越权、版本错读、关键页面不可用、数据严重错误</w:t>
            </w:r>
          </w:p>
        </w:tc>
        <w:tc>
          <w:tcPr>
            <w:tcW w:type="dxa" w:w="36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必须在进入 UAT 或发布前修复，不接受带病上线</w:t>
            </w:r>
          </w:p>
        </w:tc>
      </w:tr>
      <w:tr>
        <w:tc>
          <w:tcPr>
            <w:tcW w:type="dxa" w:w="90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P1</w:t>
            </w:r>
          </w:p>
        </w:tc>
        <w:tc>
          <w:tcPr>
            <w:tcW w:type="dxa" w:w="351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功能可用但结果明显错误、统计口径不一致、关键状态不完整、严重体验问题</w:t>
            </w:r>
          </w:p>
        </w:tc>
        <w:tc>
          <w:tcPr>
            <w:tcW w:type="dxa" w:w="36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原则上在试运行前修复；若延期需明确替代方案与业务知情</w:t>
            </w:r>
          </w:p>
        </w:tc>
      </w:tr>
      <w:tr>
        <w:tc>
          <w:tcPr>
            <w:tcW w:type="dxa" w:w="90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P2</w:t>
            </w:r>
          </w:p>
        </w:tc>
        <w:tc>
          <w:tcPr>
            <w:tcW w:type="dxa" w:w="351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不阻断主链路的局部问题、文案/样式/次要交互问题</w:t>
            </w:r>
          </w:p>
        </w:tc>
        <w:tc>
          <w:tcPr>
            <w:tcW w:type="dxa" w:w="36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可进入优化清单，按迭代排期修复</w:t>
            </w:r>
          </w:p>
        </w:tc>
      </w:tr>
      <w:tr>
        <w:tc>
          <w:tcPr>
            <w:tcW w:type="dxa" w:w="90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P3</w:t>
            </w:r>
          </w:p>
        </w:tc>
        <w:tc>
          <w:tcPr>
            <w:tcW w:type="dxa" w:w="351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建议类优化项</w:t>
            </w:r>
          </w:p>
        </w:tc>
        <w:tc>
          <w:tcPr>
            <w:tcW w:type="dxa" w:w="36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纳入后续迭代，不作为当前发布阻断</w:t>
            </w:r>
          </w:p>
        </w:tc>
      </w:tr>
    </w:tbl>
    <w:p/>
    <w:p>
      <w:pPr>
        <w:spacing w:line="319" w:lineRule="auto" w:after="80"/>
      </w:pPr>
      <w:r>
        <w:rPr>
          <w:rFonts w:eastAsia="Noto Sans CJK SC" w:ascii="Noto Sans CJK SC" w:hAnsi="Noto Sans CJK SC"/>
          <w:sz w:val="20"/>
        </w:rPr>
        <w:t>对于“权限越权、版本不一致、统计口径错误、失败批次误切换、页面空白无状态”这五类问题，默认按 P0 或至少 P1 处理，不得按一般体验问题降级。</w:t>
      </w:r>
    </w:p>
    <w:p>
      <w:pPr>
        <w:pStyle w:val="Heading1"/>
      </w:pPr>
      <w:r>
        <w:rPr>
          <w:rFonts w:eastAsia="Noto Sans CJK SC" w:ascii="Noto Sans CJK SC" w:hAnsi="Noto Sans CJK SC"/>
        </w:rPr>
        <w:t>12. 试运行前推荐回归清单</w:t>
      </w:r>
    </w:p>
    <w:p>
      <w:pPr>
        <w:spacing w:line="319" w:lineRule="auto" w:after="80"/>
        <w:ind w:left="329" w:hanging="193"/>
      </w:pPr>
      <w:r>
        <w:rPr>
          <w:rFonts w:eastAsia="Noto Sans CJK SC" w:ascii="Noto Sans CJK SC" w:hAnsi="Noto Sans CJK SC"/>
          <w:sz w:val="20"/>
        </w:rPr>
        <w:t>• 复跑 TC-01 / 03 / 07 / 10 / 13 / 16 / 17 / 20 八条高风险用例。</w:t>
      </w:r>
    </w:p>
    <w:p>
      <w:pPr>
        <w:spacing w:line="319" w:lineRule="auto" w:after="80"/>
        <w:ind w:left="329" w:hanging="193"/>
      </w:pPr>
      <w:r>
        <w:rPr>
          <w:rFonts w:eastAsia="Noto Sans CJK SC" w:ascii="Noto Sans CJK SC" w:hAnsi="Noto Sans CJK SC"/>
          <w:sz w:val="20"/>
        </w:rPr>
        <w:t>• 复核首页、学校页、搜索列表和详情页的 generated_at / stat_version 口径。</w:t>
      </w:r>
    </w:p>
    <w:p>
      <w:pPr>
        <w:spacing w:line="319" w:lineRule="auto" w:after="80"/>
        <w:ind w:left="329" w:hanging="193"/>
      </w:pPr>
      <w:r>
        <w:rPr>
          <w:rFonts w:eastAsia="Noto Sans CJK SC" w:ascii="Noto Sans CJK SC" w:hAnsi="Noto Sans CJK SC"/>
          <w:sz w:val="20"/>
        </w:rPr>
        <w:t>• 复核管理员修改学校范围后，用户首页、目录、学校页、详情页是否同步生效。</w:t>
      </w:r>
    </w:p>
    <w:p>
      <w:pPr>
        <w:spacing w:line="319" w:lineRule="auto" w:after="80"/>
        <w:ind w:left="329" w:hanging="193"/>
      </w:pPr>
      <w:r>
        <w:rPr>
          <w:rFonts w:eastAsia="Noto Sans CJK SC" w:ascii="Noto Sans CJK SC" w:hAnsi="Noto Sans CJK SC"/>
          <w:sz w:val="20"/>
        </w:rPr>
        <w:t>• 复核无权限页、空态页、错误页、数据准备中页面在样式和文案上是否清晰可识别。</w:t>
      </w:r>
    </w:p>
    <w:p>
      <w:pPr>
        <w:spacing w:line="319" w:lineRule="auto" w:after="80"/>
        <w:ind w:left="329" w:hanging="193"/>
      </w:pPr>
      <w:r>
        <w:rPr>
          <w:rFonts w:eastAsia="Noto Sans CJK SC" w:ascii="Noto Sans CJK SC" w:hAnsi="Noto Sans CJK SC"/>
          <w:sz w:val="20"/>
        </w:rPr>
        <w:t>• 复核同步任务失败、回滚、重跑与重新切换版本的日志链路是否完整。</w:t>
      </w:r>
    </w:p>
    <w:p>
      <w:pPr>
        <w:pStyle w:val="Heading1"/>
      </w:pPr>
      <w:r>
        <w:rPr>
          <w:rFonts w:eastAsia="Noto Sans CJK SC" w:ascii="Noto Sans CJK SC" w:hAnsi="Noto Sans CJK SC"/>
        </w:rPr>
        <w:t>13. 本文件结论</w:t>
      </w:r>
    </w:p>
    <w:p>
      <w:pPr>
        <w:spacing w:line="319" w:lineRule="auto" w:after="80"/>
      </w:pPr>
      <w:r>
        <w:rPr>
          <w:rFonts w:eastAsia="Noto Sans CJK SC" w:ascii="Noto Sans CJK SC" w:hAnsi="Noto Sans CJK SC"/>
          <w:sz w:val="20"/>
        </w:rPr>
        <w:t>对学术人才子系统 MVP 而言，测试与验收不是一个收尾动作，而是把“高标准 MVP、统一规则、单人协同开发可控”真正落到交付层面的最后一道门。只要严格按照本文件执行，你就能把当前文档体系收束成一套可测、可验、可回归、可试运行的项目闭环。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162" w:bottom="964" w:left="1162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Noto Sans CJK SC" w:ascii="Noto Sans CJK SC" w:hAnsi="Noto Sans CJK SC"/>
        <w:color w:val="666666"/>
        <w:sz w:val="16"/>
      </w:rPr>
      <w:t>内部项目文件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Noto Sans CJK SC" w:ascii="Noto Sans CJK SC" w:hAnsi="Noto Sans CJK SC"/>
        <w:color w:val="666666"/>
        <w:sz w:val="16"/>
      </w:rPr>
      <w:t>智能人才库项目｜MVP测试与验收用例说明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Noto Sans CJK SC" w:hAnsi="Noto Sans CJK SC" w:eastAsia="Noto Sans CJK SC"/>
      <w:color w:val="2A2A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283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A2A2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83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A2A2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 w:line="283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A2A2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 Custom"/>
    <w:pPr>
      <w:spacing w:after="40"/>
      <w:jc w:val="center"/>
    </w:pPr>
    <w:rPr>
      <w:rFonts w:ascii="Noto Sans CJK SC" w:hAnsi="Noto Sans CJK SC" w:eastAsia="Noto Sans CJK SC"/>
      <w:b/>
      <w:color w:val="2A2A2A"/>
      <w:sz w:val="40"/>
    </w:rPr>
  </w:style>
  <w:style w:type="paragraph" w:customStyle="1" w:styleId="SubtitleCustom">
    <w:name w:val="Subtitle Custom"/>
    <w:pPr>
      <w:spacing w:after="200"/>
      <w:jc w:val="center"/>
    </w:pPr>
    <w:rPr>
      <w:rFonts w:ascii="Noto Sans CJK SC" w:hAnsi="Noto Sans CJK SC" w:eastAsia="Noto Sans CJK SC"/>
      <w:color w:val="666666"/>
      <w:sz w:val="18"/>
    </w:rPr>
  </w:style>
  <w:style w:type="paragraph" w:customStyle="1" w:styleId="SmallGrey">
    <w:name w:val="Small Grey"/>
    <w:pPr>
      <w:jc w:val="center"/>
    </w:pPr>
    <w:rPr>
      <w:rFonts w:ascii="Noto Sans CJK SC" w:hAnsi="Noto Sans CJK SC" w:eastAsia="Noto Sans CJK SC"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