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智能人才库项目总体方案设计说明（项目级，V5.1.0）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背景与目标</w:t>
      </w:r>
    </w:p>
    <w:p>
      <w:r>
        <w:rPr>
          <w:b w:val="0"/>
        </w:rPr>
        <w:t>平台需同时承载五类来源、结构、生命周期迥异的人才数据，并向招聘团队提供一致的发现与管理体验。总体方案的核心命题是：如何在「统一体验」与「域差异」之间取得平衡。</w:t>
      </w:r>
    </w:p>
    <w:p>
      <w:pPr>
        <w:pStyle w:val="Heading1"/>
      </w:pPr>
      <w:r>
        <w:t>2. 总体架构</w:t>
      </w:r>
    </w:p>
    <w:p>
      <w:r>
        <w:rPr>
          <w:b w:val="0"/>
        </w:rPr>
        <w:t>前后端分离 + 领域驱动（DDD）单体后端。后端按人才域划分模块，共享能力下沉；前端单 SPA 按域组织页面，统一 API 客户端与域主题。PostgreSQL 为唯一数据库（含 pgvector），Redis 可选缓存。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组成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 SPA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TS5 / Vite / AntD v5 / Zustand / React Query / ECharts；端口 2012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FastAPI，/api/v1；域路由聚合于 app/api_router.py；Bearer JWT / X-API-Key 双认证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领域层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domains/{academic, open_source, lab, competition, industry, shared}，每域 api/models/schemas/repositories/services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app/core（config/auth/database/cache/metrics）+ app/middleware（限流/请求日志/指标）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16+（pg_trgm、uuid-ossp、pgvector）；Redis 7（可选）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外部依赖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OpenAlex API、GitHub API、LLM 服务（可关闭）、三个采集 skill（浏览器侧）</w:t>
            </w:r>
          </w:p>
        </w:tc>
      </w:tr>
    </w:tbl>
    <w:p>
      <w:pPr>
        <w:pStyle w:val="Heading1"/>
      </w:pPr>
      <w:r>
        <w:t>3. 关键架构决策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五域独立表族 + 跨域隔离铁律（CI 零容忍）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域间模型与生命周期差异大，隔离保证独立演进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平台内采集（学术/开源）与 Agent skill 导入（实验室/竞赛/行业）双模式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后三者依赖真实浏览器会话与登录态，不适合平台内抓取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共享 JSONL 导入骨架（guard/isolation/parsing/report/values）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三域导入语义不同但骨架一致，复用防漂移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搜索策略模式 + pgvector + RRF 混合融合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关键词与语义独立演进，混合兼顾精度召回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 HttpClientFactory + 启动时代理动态加载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企业代理环境适配；统一重试/熔断/限速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分层：api 只见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防止层间穿透，保障可测试性</w:t>
            </w:r>
          </w:p>
        </w:tc>
      </w:tr>
    </w:tbl>
    <w:p>
      <w:pPr>
        <w:pStyle w:val="Heading1"/>
      </w:pPr>
      <w:r>
        <w:t>4. 体验一致性设计</w:t>
      </w:r>
    </w:p>
    <w:p>
      <w:pPr>
        <w:pStyle w:val="ListBullet"/>
      </w:pPr>
      <w:r>
        <w:t>五域统一导航与域切换器；每域一致的信息架构：总览 → 搜索 → 详情</w:t>
      </w:r>
    </w:p>
    <w:p>
      <w:pPr>
        <w:pStyle w:val="ListBullet"/>
      </w:pPr>
      <w:r>
        <w:t>统一卡片式人才呈现、筛选侧栏、分页；域主题色（domainThemes 注册表）区分域身份</w:t>
      </w:r>
    </w:p>
    <w:p>
      <w:pPr>
        <w:pStyle w:val="ListBullet"/>
      </w:pPr>
      <w:r>
        <w:t>统一错误提示与加载态；管理入口集中于系统配置与用户管理</w:t>
      </w:r>
    </w:p>
    <w:p>
      <w:pPr>
        <w:pStyle w:val="Heading1"/>
      </w:pPr>
      <w:r>
        <w:t>5. 不做的事（YAGNI）</w:t>
      </w:r>
    </w:p>
    <w:p>
      <w:pPr>
        <w:pStyle w:val="ListBullet"/>
      </w:pPr>
      <w:r>
        <w:t>不做跨库同一性识别（预留字段）</w:t>
      </w:r>
    </w:p>
    <w:p>
      <w:pPr>
        <w:pStyle w:val="ListBullet"/>
      </w:pPr>
      <w:r>
        <w:t>不做行业域后端重打分与 JD LLM 解析入岗位</w:t>
      </w:r>
    </w:p>
    <w:p>
      <w:pPr>
        <w:pStyle w:val="ListBullet"/>
      </w:pPr>
      <w:r>
        <w:t>实验室/竞赛/行业域不做收藏人才池与语义搜索</w:t>
      </w:r>
    </w:p>
    <w:p>
      <w:pPr>
        <w:pStyle w:val="ListBullet"/>
      </w:pPr>
      <w:r>
        <w:t>不做微服务拆分（单体内模块化已满足规模）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