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br/>
        <w:t>智能人才库项目权限与安全设计说明（V5.1.0）</w:t>
      </w:r>
    </w:p>
    <w:p>
      <w:pPr>
        <w:jc w:val="center"/>
      </w:pPr>
      <w:r>
        <w:rPr>
          <w:sz w:val="24"/>
        </w:rPr>
        <w:br/>
        <w:t>版本：V5.1.0    状态：已交付    日期：2026-08-24</w:t>
        <w:br/>
        <w:t>范围：全平台五大人才域（学术 / 开源 / 实验室 / 竞赛 / 行业）+ 共享系统能力</w:t>
      </w:r>
    </w:p>
    <w:p>
      <w:r>
        <w:br w:type="page"/>
      </w:r>
    </w:p>
    <w:p>
      <w:pPr>
        <w:pStyle w:val="Heading1"/>
      </w:pPr>
      <w:r>
        <w:t>1. 认证体系</w:t>
      </w:r>
    </w:p>
    <w:p>
      <w:pPr>
        <w:pStyle w:val="ListBullet"/>
      </w:pPr>
      <w:r>
        <w:t>JWT HS256：access token（默认 8h）+ refresh token（天级）；payload 含 user_id/username/role</w:t>
      </w:r>
    </w:p>
    <w:p>
      <w:pPr>
        <w:pStyle w:val="ListBullet"/>
      </w:pPr>
      <w:r>
        <w:t>SECRET_KEY：生产缺失直接抛错；开发自动生成随机密钥并告警；&lt;32 字符告警</w:t>
      </w:r>
    </w:p>
    <w:p>
      <w:pPr>
        <w:pStyle w:val="ListBullet"/>
      </w:pPr>
      <w:r>
        <w:t>密码：bcrypt rounds=12；策略 ≥8 位 + 大小写 + 数字 + 特殊字符 + 弱口令黑名单</w:t>
      </w:r>
    </w:p>
    <w:p>
      <w:pPr>
        <w:pStyle w:val="ListBullet"/>
      </w:pPr>
      <w:r>
        <w:t>登出为无状态（客户端删令牌）；改密、登录等事件写审计</w:t>
      </w:r>
    </w:p>
    <w:p>
      <w:pPr>
        <w:pStyle w:val="Heading1"/>
      </w:pPr>
      <w:r>
        <w:t>2. 授权模型</w:t>
      </w:r>
    </w:p>
    <w:p>
      <w:pPr>
        <w:pStyle w:val="Heading2"/>
      </w:pPr>
      <w:r>
        <w:t>2.1 角色三级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角色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守卫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能力边界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require_user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浏览/搜索/收藏/导出/反馈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require_admin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用户管理、审批、审计查询、系统配置、采集管理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super_admin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require_super_admin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导入、purge、API Key、岗位管理、批次删除等高危操作</w:t>
            </w:r>
          </w:p>
        </w:tc>
      </w:tr>
    </w:tbl>
    <w:p>
      <w:pPr>
        <w:pStyle w:val="Heading2"/>
      </w:pPr>
      <w:r>
        <w:t>2.2 三维数据权限</w:t>
      </w:r>
    </w:p>
    <w:p>
      <w:r>
        <w:rPr>
          <w:b w:val="0"/>
        </w:rPr>
        <w:t>iam_user_school_scope：scope_type ∈ school/country/tech_domain/all；带授予人、过期时间、启用开关。查询侧由 UserService.get_accessible_school_ids / tech_domain_ids / country_codes 提供过滤集合。</w:t>
      </w:r>
    </w:p>
    <w:p>
      <w:pPr>
        <w:pStyle w:val="Heading2"/>
      </w:pPr>
      <w:r>
        <w:t>2.3 Open API 鉴权</w:t>
      </w:r>
    </w:p>
    <w:p>
      <w:r>
        <w:rPr>
          <w:b w:val="0"/>
        </w:rPr>
        <w:t>shared_api_key 表：key 仅存 hash，scopes 为 JSONB（如 academic:read、industry:write）；支持独立限流与过期；super_admin 创建/吊销。行业导入旧静态 Key 启动时自动迁入该表。</w:t>
      </w:r>
    </w:p>
    <w:p>
      <w:pPr>
        <w:pStyle w:val="Heading1"/>
      </w:pPr>
      <w:r>
        <w:t>3. 注册审批与合规</w:t>
      </w:r>
    </w:p>
    <w:p>
      <w:pPr>
        <w:pStyle w:val="ListBullet"/>
      </w:pPr>
      <w:r>
        <w:t>公开注册 → status=pending_approval → 管理员 approve/reject</w:t>
      </w:r>
    </w:p>
    <w:p>
      <w:pPr>
        <w:pStyle w:val="ListBullet"/>
      </w:pPr>
      <w:r>
        <w:t>隐私合规（PIPL/GDPR）：政策/条款端点、同意状态与记录（privacy_policy_accepted_at、storage_consent_level）</w:t>
      </w:r>
    </w:p>
    <w:p>
      <w:pPr>
        <w:pStyle w:val="Heading1"/>
      </w:pPr>
      <w:r>
        <w:t>4. 安全控制清单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控制点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措施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传输/跨域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JWT 走 Header（allow_credentials=False）；生产 CORS 拒绝 * 与 localhost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注入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SQLAlchemy 参数化；正则校验仓库名等输入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SSRF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实验室主页预览封禁内网 IP 段，100KB 内容上限 / 2MB 下载上限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敏感配置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sys_config 敏感项掩码（LLM_API_KEY、GITHUB_TOKENS 等）；密钥不提交版本控制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限流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中间件内存滑动窗口（默认 100 req/min，user_id 或 IP 为 key），429 + X-RateLimit-* 头；健康检查豁免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审计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操作（含 export、purge）与认证事件全量留痕，request_id 贯穿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数据操作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purge 默认 dry_run、super_admin、确认文本、审计；导入 0 行硬保护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测试隔离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测试库 talent_db_test 物理隔离，每函数 TRUNCATE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