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智能人才库项目技术栈冻结单（V5.1.0）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r>
        <w:rPr>
          <w:b w:val="0"/>
        </w:rPr>
        <w:t>以下技术选型冻结，新增依赖需评审；禁止引入已在冻结单之外的同类替代品。</w:t>
      </w:r>
    </w:p>
    <w:p>
      <w:pPr>
        <w:pStyle w:val="Heading1"/>
      </w:pPr>
      <w:r>
        <w:t>1. 后端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冻结项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运行时/框架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3.11+ / FastAPI 0.141 / Pydantic v2 + pydantic-settings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ORM/迁移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SQLAlchemy 2.0（异步）+ Alembic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PostgreSQL 16+（无 SQLite 降级）；asyncpg + psycopg2-binary；pgvector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Redis（可选，REDIS_ENABLED 开关 + 降级）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httpx / aiohttp —— 必须经 HttpClientFactory 封装（基线例外除外）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tenacity / bcrypt + PyJWT / openai / tiktoken / beautifulsoup4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包管理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uv（Astral，取代 pip）</w:t>
            </w:r>
          </w:p>
        </w:tc>
      </w:tr>
    </w:tbl>
    <w:p>
      <w:pPr>
        <w:pStyle w:val="Heading1"/>
      </w:pPr>
      <w:r>
        <w:t>2. 前端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冻结项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18 + TypeScript 5（strict）/ Vite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Ant Design v5 + icons / ECharts + echarts-for-react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路由/状态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Router v6 / Zustand（客户端）+ TanStack React Query（服务端）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HTTP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Axios（单实例 client.ts）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Vitest + jsdom / Playwright（E2E，仅 Chromium）</w:t>
            </w:r>
          </w:p>
        </w:tc>
      </w:tr>
    </w:tbl>
    <w:p>
      <w:pPr>
        <w:pStyle w:val="Heading1"/>
      </w:pPr>
      <w:r>
        <w:t>3. 基础设施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冻结项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容器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Docker &amp; Docker Compose / Nginx（前端 production target）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 Actions（三 Job）；Pre-commit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观测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自研 MetricsRegistry → Prometheus 文本（/api/v1/metrics）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命令入口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Makefile；Windows 用 scripts/local_ci.ps1 / local_test.ps1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