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智能人才库项目规则冻结单（V5.1.0）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架构铁律（CI 强制）</w:t>
      </w:r>
    </w:p>
    <w:p>
      <w:pPr>
        <w:pStyle w:val="ListBullet"/>
      </w:pPr>
      <w:r>
        <w:t>跨域隔离：academic / open_source / lab / competition / industry 之间不得互相导入内部模块；shared 不得导入业务域内部（models.enums 除外）；零容忍无基线</w:t>
      </w:r>
    </w:p>
    <w:p>
      <w:pPr>
        <w:pStyle w:val="ListBullet"/>
      </w:pPr>
      <w:r>
        <w:t>Endpoint 分层：api/ 只能 import 同域 Service、shared Service、schemas、shared enums、app.core.* 与第三方库；禁止 *Repository、*Collector、LLMGateway、*EmbeddingService、底层 HTTP Client、AsyncSessionLocal</w:t>
      </w:r>
    </w:p>
    <w:p>
      <w:pPr>
        <w:pStyle w:val="ListBullet"/>
      </w:pPr>
      <w:r>
        <w:t>HTTP 客户端统一：出站请求一律 HttpClientFactory.create_client_for_url(...)；例外仅基线化文件（http_client.py、data_fetchers/、openalex_client、github_client、system_config_test_service）</w:t>
      </w:r>
    </w:p>
    <w:p>
      <w:pPr>
        <w:pStyle w:val="ListBullet"/>
      </w:pPr>
      <w:r>
        <w:t>目录放置：业务域路由/模型/Service/Repository/常量入 domains/&lt;域&gt;/ 对应子目录；全局聚合仅在 app/api_router.py 与 app/model_registry.py</w:t>
      </w:r>
    </w:p>
    <w:p>
      <w:pPr>
        <w:pStyle w:val="Heading1"/>
      </w:pPr>
      <w:r>
        <w:t>2. 错误处理契约</w:t>
      </w:r>
    </w:p>
    <w:p>
      <w:pPr>
        <w:pStyle w:val="ListBullet"/>
      </w:pPr>
      <w:r>
        <w:t>Service/基础设施层 raise 领域自定义异常；LLM 链路经 llm/errors.py 的 llm_error_from_exception 转换</w:t>
      </w:r>
    </w:p>
    <w:p>
      <w:pPr>
        <w:pStyle w:val="ListBullet"/>
      </w:pPr>
      <w:r>
        <w:t>边界处（API 异常处理器、health 探测、后台任务）统一转换为 HTTP 响应/布尔/任务状态</w:t>
      </w:r>
    </w:p>
    <w:p>
      <w:pPr>
        <w:pStyle w:val="ListBullet"/>
      </w:pPr>
      <w:r>
        <w:t>禁止以布尔/元组/字符串状态码作为错误通道</w:t>
      </w:r>
    </w:p>
    <w:p>
      <w:pPr>
        <w:pStyle w:val="ListBullet"/>
      </w:pPr>
      <w:r>
        <w:t>可调参数（超时、重试、批大小）必须读 config.py 或域 constants/，禁止内联魔法值</w:t>
      </w:r>
    </w:p>
    <w:p>
      <w:pPr>
        <w:pStyle w:val="Heading1"/>
      </w:pPr>
      <w:r>
        <w:t>3. 代码风格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Black（line-length 100, py311）；Ruff（E,W,F,I,B,C4,UP；忽略 E501/B008/UP017/UP038）；mypy disallow_untyped_defs（mypy gate 基线对比）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ESLint 9 flat（no-explicit-any off，_ 前缀未用变量豁免）；Prettier（semi:false、singleQuote、tabWidth 2、printWidth 100）；TS strict + noUnusedLocals/Parameters</w:t>
            </w:r>
          </w:p>
        </w:tc>
      </w:tr>
    </w:tbl>
    <w:p>
      <w:pPr>
        <w:pStyle w:val="Heading1"/>
      </w:pPr>
      <w:r>
        <w:t>4. 安全红线</w:t>
      </w:r>
    </w:p>
    <w:p>
      <w:pPr>
        <w:pStyle w:val="ListBullet"/>
      </w:pPr>
      <w:r>
        <w:t>生产必须改 SECRET_KEY；CORS 生产拒绝 * 与 localhost；密码 bcrypt 禁止明文</w:t>
      </w:r>
    </w:p>
    <w:p>
      <w:pPr>
        <w:pStyle w:val="ListBullet"/>
      </w:pPr>
      <w:r>
        <w:t>LLM API Key / GitHub Tokens 勿提交版本控制；Docker 密码占位符禁止替换为真实密码提交</w:t>
      </w:r>
    </w:p>
    <w:p>
      <w:pPr>
        <w:pStyle w:val="ListBullet"/>
      </w:pPr>
      <w:r>
        <w:t>测试库与生产库物理隔离（conftest TRUNCATE，切勿指向生产库）</w:t>
      </w:r>
    </w:p>
    <w:p>
      <w:pPr>
        <w:pStyle w:val="ListBullet"/>
      </w:pPr>
      <w:r>
        <w:t>禁止 git 破坏性操作（reset/rebase/push）未经用户确认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