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智能人才库项目目录结构方案（V5.1.0）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顶层结构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目录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backend/app/api_router.py、model_registry.py、main.py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路由聚合 / 模型注册 / 入口与生命周期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backend/app/core/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config（pydantic-settings）、database、auth、exceptions、cache、metrics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backend/app/middleware/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限流、请求日志、指标采集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backend/app/domains/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六大域：academic / open_source / lab / competition / industry / shared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backend/migrations/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Alembic 迁移（001~065 + 历史 hash 脚本）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backend/tests/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pytest（domains/ 按域组织）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backend/scripts/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check_architecture.py（CI 门禁）、ops/mypy_gate.py、data/ 种子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pages / components / layouts / stores / services / theme / hooks / constants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frontend/tests/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Playwright E2E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docker-compose.yml、init-db.sql、schema.sql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版本文档（v5.1.0/ 为本版文档集）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scripts/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dev.sh、pre-push.sh、local_ci.ps1、bump_version.py 等</w:t>
            </w:r>
          </w:p>
        </w:tc>
      </w:tr>
    </w:tbl>
    <w:p>
      <w:pPr>
        <w:pStyle w:val="Heading1"/>
      </w:pPr>
      <w:r>
        <w:t>2. 域内部结构（统一骨架）</w:t>
      </w:r>
    </w:p>
    <w:p>
      <w:r>
        <w:rPr>
          <w:b w:val="0"/>
        </w:rPr>
        <w:t>domains/&lt;域&gt;/{api, models, schemas, repositories, services, constants}；open_source/lab/competition/industry 的多子路由由各自 api/__init__.py 聚合成单 router 后统一挂载。</w:t>
      </w:r>
    </w:p>
    <w:p>
      <w:pPr>
        <w:pStyle w:val="Heading1"/>
      </w:pPr>
      <w:r>
        <w:t>3. 放置规则速查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代码类型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禁止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业务域 API 路由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domains/&lt;域&gt;/api/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app/api/v1/endpoints/（已废弃）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业务域模型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domains/&lt;域&gt;/models/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app/models/（已废弃）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业务域 Service / Repository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domains/&lt;域&gt;/services|repositories/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app/services|repositories/（已废弃）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共享基础设施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app/core/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任何 domain 内部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中间件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app/middleware/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任何 domain 内部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