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智能人才库项目测试与验收用例说明（V5.1.0）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测试体系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框架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pytest + pytest-asyncio + httpx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 backend &amp;&amp; uv run pytest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 -m "not slow"；-v --cov=app 带覆盖率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前端单元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Vitest + jsdom + testing-library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run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src/**/*.test.ts(x)，setup src/test/setup.ts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 E2E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Playwright（仅 Chromium，workers 1）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run build &amp;&amp; npx playwright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tests/*.spec.ts，5 个 spec</w:t>
            </w:r>
          </w:p>
        </w:tc>
      </w:tr>
    </w:tbl>
    <w:p>
      <w:pPr>
        <w:pStyle w:val="Heading2"/>
      </w:pPr>
      <w:r>
        <w:t>1.1 后端测试规约</w:t>
      </w:r>
    </w:p>
    <w:p>
      <w:pPr>
        <w:pStyle w:val="ListBullet"/>
      </w:pPr>
      <w:r>
        <w:t>独立测试库 talent_db_test（conftest 用 DATABASE_URL/DATABASE_SYNC_URL 覆盖；每函数 TRUNCATE 所有表）；切勿指向生产库</w:t>
      </w:r>
    </w:p>
    <w:p>
      <w:pPr>
        <w:pStyle w:val="ListBullet"/>
      </w:pPr>
      <w:r>
        <w:t>核心 Fixture：test_engine / test_session / client（覆盖 get_async_session）/ sample_talent / test_user / mock_admin_user</w:t>
      </w:r>
    </w:p>
    <w:p>
      <w:pPr>
        <w:pStyle w:val="ListBullet"/>
      </w:pPr>
      <w:r>
        <w:t>标记：unit / integration / e2e / slow（默认跳过）/ requires_pgvector（不可用自动跳过）</w:t>
      </w:r>
    </w:p>
    <w:p>
      <w:pPr>
        <w:pStyle w:val="Heading1"/>
      </w:pPr>
      <w:r>
        <w:t>2. 验收用例（按域抽选）</w:t>
      </w:r>
    </w:p>
    <w:p>
      <w:pPr>
        <w:pStyle w:val="Heading2"/>
      </w:pPr>
      <w:r>
        <w:t>2.1 学术域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多模式搜索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/search/v2/talents?mode=hybrid&amp;q=...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RRF 融合结果分页返回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JD 匹配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/jd-match/parse → /match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三维分 + 理由，会话可查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采集任务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 → execute → 查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 阶段推进、进度百分比更新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数据版本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创建版本 → publish → 纠偏 → revert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 切换、快照回滚</w:t>
            </w:r>
          </w:p>
        </w:tc>
      </w:tr>
    </w:tbl>
    <w:p>
      <w:pPr>
        <w:pStyle w:val="Heading2"/>
      </w:pPr>
      <w:r>
        <w:t>2.2 开源域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仓库配置搜索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/open-source/repo-configs?q=名称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仅匹配 repo_full_name/display_name/description 的结果（V5.1.0 修复点）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首页覆盖仓库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/open-source/stats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total_repositories = 已完成采集的配置仓库数（V5.1.0 修正口径）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purge 保护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dry_run → 执行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shared/protected 保留、exclusive 删除、审计留痕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限流自愈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触发 GitHub 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 rate_limited + resume_at，之后自动恢复</w:t>
            </w:r>
          </w:p>
        </w:tc>
      </w:tr>
    </w:tbl>
    <w:p>
      <w:pPr>
        <w:pStyle w:val="Heading2"/>
      </w:pPr>
      <w:r>
        <w:t>2.3 实验室 / 竞赛 / 行业域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实验室导入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上传含 lab 头 JSONL → 再传新版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 parent_lab 全量替换；lab_info upsert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竞赛导入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乱序 JSONL 上传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 拒绝（行序硬校验）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竞赛榜单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/comp/contests/{id}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个人榜 + 团队榜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行业增量导入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同人重复导入且改状态后再导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touched/status/notes 保留，分数更新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行业状态流转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PATCH 候选人状态为 interviewed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400（合法值仅 new/connected/terminated）</w:t>
            </w:r>
          </w:p>
        </w:tc>
      </w:tr>
    </w:tbl>
    <w:p>
      <w:pPr>
        <w:pStyle w:val="Heading2"/>
      </w:pPr>
      <w:r>
        <w:t>2.4 系统能力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注册审批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公开注册 → admin 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pending → active，审计留痕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三维权限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授予 school scope 后查询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仅可见授权范围数据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 key → 调 /open-api/search/talents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 scope 鉴权，越权 403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配置测试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/system-config/llm/test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返回连通性结果</w:t>
            </w:r>
          </w:p>
        </w:tc>
      </w:tr>
    </w:tbl>
    <w:p>
      <w:pPr>
        <w:pStyle w:val="Heading1"/>
      </w:pPr>
      <w:r>
        <w:t>3. 质量门禁（验收前置）</w:t>
      </w:r>
    </w:p>
    <w:p>
      <w:pPr>
        <w:pStyle w:val="ListBullet"/>
      </w:pPr>
      <w:r>
        <w:t>CI 三 Job 全绿：backend-test（含 slow）、backend-lint（mypy gate + 架构检查）、frontend-lint（ESLint/audit/Vitest/build）</w:t>
      </w:r>
    </w:p>
    <w:p>
      <w:pPr>
        <w:pStyle w:val="ListBullet"/>
      </w:pPr>
      <w:r>
        <w:t>跨域隔离零容忍；Endpoint 分层与 HTTP 客户端规则无新增基线违规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