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智能人才库项目试运行与上线切换方案（含回滚预案，V5.1.0）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上线前检查单</w:t>
      </w:r>
    </w:p>
    <w:p>
      <w:pPr>
        <w:pStyle w:val="ListBullet"/>
      </w:pPr>
      <w:r>
        <w:t>环境变量：SECRET_KEY 已更换（≥32 字符）、CORS_ORIGINS 白名单、DATABASE_URL 指向生产库且无弱口令告警</w:t>
      </w:r>
    </w:p>
    <w:p>
      <w:pPr>
        <w:pStyle w:val="ListBullet"/>
      </w:pPr>
      <w:r>
        <w:t>Docker compose 密码占位符全部经 override/secrets 注入；RATE_LIMIT_ENABLED=true</w:t>
      </w:r>
    </w:p>
    <w:p>
      <w:pPr>
        <w:pStyle w:val="ListBullet"/>
      </w:pPr>
      <w:r>
        <w:t>make migrate 执行完成；make seed 初始化六大技术要素与方向</w:t>
      </w:r>
    </w:p>
    <w:p>
      <w:pPr>
        <w:pStyle w:val="ListBullet"/>
      </w:pPr>
      <w:r>
        <w:t>LLM / GitHub / 代理在系统配置面板完成配置并通过连接测试</w:t>
      </w:r>
    </w:p>
    <w:p>
      <w:pPr>
        <w:pStyle w:val="ListBullet"/>
      </w:pPr>
      <w:r>
        <w:t>默认账号 admin/admin123 已改密或禁用重建</w:t>
      </w:r>
    </w:p>
    <w:p>
      <w:pPr>
        <w:pStyle w:val="Heading1"/>
      </w:pPr>
      <w:r>
        <w:t>2. 切换步骤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部署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compose up -d（production profile 含 redis）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容器全部 healthy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迁移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 migrate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alembic current 到 065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健康检查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/health、/ready、/live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三端点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冒烟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 → 五域首页 → 各域搜索一次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页面渲染、数据返回正常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指标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/api/v1/metrics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 文本正常导出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 开放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用测试 API Key 调 /open-api/search/talents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跨域结果返回</w:t>
            </w:r>
          </w:p>
        </w:tc>
      </w:tr>
    </w:tbl>
    <w:p>
      <w:pPr>
        <w:pStyle w:val="Heading1"/>
      </w:pPr>
      <w:r>
        <w:t>3. 试运行策略</w:t>
      </w:r>
    </w:p>
    <w:p>
      <w:pPr>
        <w:pStyle w:val="ListBullet"/>
      </w:pPr>
      <w:r>
        <w:t>先导入小规模数据试运行：实验室/竞赛/行业各导入一份样本 JSONL，开源配置 1~2 个仓库采集，学术跑单个 venue 采集任务</w:t>
      </w:r>
    </w:p>
    <w:p>
      <w:pPr>
        <w:pStyle w:val="ListBullet"/>
      </w:pPr>
      <w:r>
        <w:t>观察日志与指标：请求延迟、429 频率、采集任务成功率</w:t>
      </w:r>
    </w:p>
    <w:p>
      <w:pPr>
        <w:pStyle w:val="ListBullet"/>
      </w:pPr>
      <w:r>
        <w:t>确认无误后放量：批量添加仓库、全量导入历史 JSONL、启动学术全量采集</w:t>
      </w:r>
    </w:p>
    <w:p>
      <w:pPr>
        <w:pStyle w:val="Heading1"/>
      </w:pPr>
      <w:r>
        <w:t>4. 回滚预案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回滚手段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应用版本故障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 回退版本 + 重建镜像；数据库结构兼容时无需回滚迁移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迁移故障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 migrate-rollback 回退一步；必要时 pg 备份恢复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导入数据错误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行业按批次删除（/positions/{id}/batches/{batch}）；实验室/竞赛重传正确 JSONL 全量替换；开源 purge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学术数据污染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数据版本纠偏/回滚（data_correction_record + is_active 切换）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 服务异常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LLM_ENABLED=false 降级，关键词搜索不受影响</w:t>
            </w:r>
          </w:p>
        </w:tc>
      </w:tr>
    </w:tbl>
    <w:p>
      <w:pPr>
        <w:pStyle w:val="Heading1"/>
      </w:pPr>
      <w:r>
        <w:t>5. 应急预案</w:t>
      </w:r>
    </w:p>
    <w:p>
      <w:pPr>
        <w:pStyle w:val="ListBullet"/>
      </w:pPr>
      <w:r>
        <w:t>数据库连接失败：健康 /ready 失败 → 检查 postgres 容器与 DATABASE_URL</w:t>
      </w:r>
    </w:p>
    <w:p>
      <w:pPr>
        <w:pStyle w:val="ListBullet"/>
      </w:pPr>
      <w:r>
        <w:t>GitHub 全面限流：检查 GITHUB_TOKENS 配额与 token 池状态，必要时追加 token</w:t>
      </w:r>
    </w:p>
    <w:p>
      <w:pPr>
        <w:pStyle w:val="ListBullet"/>
      </w:pPr>
      <w:r>
        <w:t>磁盘/内存：关注 postgres_data 卷与日志目录 backend/logs/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