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Microsoft YaHei" w:ascii="Calibri" w:hAnsi="Calibri"/>
        </w:rPr>
        <w:t>智能人才库项目</w:t>
        <w:br/>
        <w:t>部署与运行设计说明</w:t>
      </w:r>
    </w:p>
    <w:p>
      <w:pPr>
        <w:pStyle w:val="Subtitle"/>
        <w:spacing w:line="288" w:lineRule="auto" w:before="0" w:after="360"/>
        <w:jc w:val="left"/>
      </w:pPr>
      <w:r>
        <w:rPr>
          <w:rFonts w:eastAsia="Microsoft YaHei" w:ascii="Calibri" w:hAnsi="Calibri"/>
        </w:rPr>
        <w:t>适用范围：第一阶段学术人才子系统 MVP；用于定义环境规划、发布流程、任务运行、监控告警与恢复机制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文档编号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b/>
                <w:color w:val="282828"/>
                <w:sz w:val="20"/>
                <w:rFonts w:eastAsia="Microsoft YaHei" w:ascii="Calibri" w:hAnsi="Calibri"/>
              </w:rPr>
              <w:t>15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版本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阶段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方案设计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编制日期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2026-03-16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适用对象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架构 / 开发 / 测试 / 运维 / 项目 Owner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EDF3F9"/>
          </w:tcPr>
          <w:p>
            <w:pPr>
              <w:spacing w:line="288" w:lineRule="auto" w:before="40" w:after="40"/>
            </w:pPr>
            <w:r>
              <w:rPr>
                <w:i/>
                <w:color w:val="282828"/>
                <w:sz w:val="21"/>
                <w:rFonts w:eastAsia="Microsoft YaHei" w:ascii="Calibri" w:hAnsi="Calibri"/>
              </w:rPr>
              <w:t>使用说明：本文件属于方案设计阶段交付物，重点回答“准备如何实现”，用于衔接需求分析、开发任务包拆分、技术评审与阶段验收。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1. 设计目标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部署与运行设计的目标，是把“内部试用但按正式系统标准要求”落到工程实践层面。系统不仅要能跑起来，还要能发布、能观察、能恢复、能追踪。</w:t>
      </w:r>
    </w:p>
    <w:p>
      <w:pPr>
        <w:pStyle w:val="Heading1"/>
      </w:pPr>
      <w:r>
        <w:rPr>
          <w:rFonts w:eastAsia="Microsoft YaHei" w:ascii="Calibri" w:hAnsi="Calibri"/>
        </w:rPr>
        <w:t>2. 环境规划建议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5760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环境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用途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建议配置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DEV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开发联调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允许快速迭代与调试日志；可使用部分模拟数据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TEST / UAT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测试与业务验收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配置接近生产；使用脱敏或授权可控的测试数据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PROD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内部正式试运行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开启监控、审计、备份和严格变更控制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3. 部署单元建议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480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单元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职责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前端应用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承载首页、目录、学校页、人才列表、详情和权限配置页面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应用服务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提供查询接口、管理接口和统一权限控制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同步任务服务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执行 OpenAlex 接入、对象构建和统计快照任务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数据库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保存领域对象、权限映射、统计快照和管理数据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缓存（可选）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保存热点查询和授权缓存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对象存储 / 文件存储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保存原始数据快照、导出文件和任务中间产物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4. 发布与变更流程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代码提交后先通过静态检查、单元测试和接口测试。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在 TEST / UAT 环境完成功能验证、权限校验和关键页面走查。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业务试用方完成验收后，再安排生产发布。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生产发布建议采用固定时间窗，尽量避开同步任务高峰和业务高峰。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若发布失败，可快速回滚到上一个稳定版本；数据构建任务与应用版本切换应相互独立。</w:t>
      </w:r>
    </w:p>
    <w:p>
      <w:pPr>
        <w:pStyle w:val="Heading1"/>
      </w:pPr>
      <w:r>
        <w:rPr>
          <w:rFonts w:eastAsia="Microsoft YaHei" w:ascii="Calibri" w:hAnsi="Calibri"/>
        </w:rPr>
        <w:t>5. 同步任务运行设计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336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任务类型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来源同步任务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从 OpenAlex 拉取数据并保存原始记录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对象构建任务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清洗映射并构建 School / Talent / Role 等领域对象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统计快照任务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生成首页与学校页统计数据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补偿与重跑任务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针对失败批次或部分学校做重跑</w:t>
            </w:r>
          </w:p>
        </w:tc>
      </w:tr>
    </w:tbl>
    <w:p/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建议任务运行记录批次号、开始时间、结束时间、状态、错误信息和输出条数。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对象构建成功后再切换当前生效版本，避免用户访问到半成品数据。</w:t>
      </w:r>
    </w:p>
    <w:p>
      <w:pPr>
        <w:pStyle w:val="Heading1"/>
      </w:pPr>
      <w:r>
        <w:rPr>
          <w:rFonts w:eastAsia="Microsoft YaHei" w:ascii="Calibri" w:hAnsi="Calibri"/>
        </w:rPr>
        <w:t>6. 监控与告警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336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监控维度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建议指标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接口层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响应时间、错误率、超时率、无权限访问次数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任务层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任务成功率、失败率、重试次数、批次耗时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数据层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当日新增 / 更新条数、统计快照生成时间、关键对象缺失率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权限层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授权变更次数、异常访问次数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基础设施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CPU / 内存 / 磁盘 / 数据库连接数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7. 日志与追踪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应用日志、任务日志、审计日志建议分流保存，便于查询与归档。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关键接口和任务应带 request_id / batch_id，便于串联排查。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日志保存周期应结合公司规范设定；管理员操作日志建议保留更长周期。</w:t>
      </w:r>
    </w:p>
    <w:p>
      <w:pPr>
        <w:pStyle w:val="Heading1"/>
      </w:pPr>
      <w:r>
        <w:rPr>
          <w:rFonts w:eastAsia="Microsoft YaHei" w:ascii="Calibri" w:hAnsi="Calibri"/>
        </w:rPr>
        <w:t>8. 备份与恢复建议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192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对象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建议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数据库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定期全量备份 + 增量备份；关键表支持快速恢复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原始数据快照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按批次保留，便于重建对象和复盘问题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配置文件 / 环境变量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纳入配置管理和变更记录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导出文件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设定保留周期和访问控制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9. 运行期质量门禁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核心链路页面不可出现连续不可用的严重缺陷。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权限校验必须通过专项测试，保证统计、列表、详情口径一致。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同步任务失败率和错误日志需有明确阈值与告警策略。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重大发布前应至少覆盖一次业务走查和回归测试。</w:t>
      </w:r>
    </w:p>
    <w:p>
      <w:pPr>
        <w:pStyle w:val="Heading1"/>
      </w:pPr>
      <w:r>
        <w:rPr>
          <w:rFonts w:eastAsia="Microsoft YaHei" w:ascii="Calibri" w:hAnsi="Calibri"/>
        </w:rPr>
        <w:t>10. 本文件结论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部署与运行设计的重点，是让系统具备“可发布、可监控、可回滚、可追踪”的基本运营能力。这样即使第一阶段范围较小，也能真正支撑内部试用和持续迭代，而不是一次性演示版本。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24" w:right="1368" w:bottom="1152" w:left="1368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8"/>
        <w:rFonts w:eastAsia="Microsoft YaHei" w:ascii="Calibri" w:hAnsi="Calibri"/>
      </w:rPr>
      <w:t xml:space="preserve">部署与运行设计  |  第 </w:t>
    </w:r>
    <w:r>
      <w:rPr>
        <w:rFonts w:eastAsia="Microsoft YaHei" w:ascii="Calibri" w:hAnsi="Calibri"/>
      </w:rPr>
      <w:fldChar w:fldCharType="begin"/>
      <w:instrText xml:space="preserve">PAGE</w:instrText>
      <w:fldChar w:fldCharType="end"/>
    </w:r>
    <w:r>
      <w:rPr>
        <w:color w:val="606060"/>
        <w:sz w:val="18"/>
        <w:rFonts w:eastAsia="Microsoft YaHei" w:ascii="Calibri" w:hAnsi="Calibr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06060"/>
        <w:sz w:val="18"/>
        <w:rFonts w:eastAsia="Microsoft YaHei" w:ascii="Calibri" w:hAnsi="Calibri"/>
      </w:rPr>
      <w:t>部署与运行设计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