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rPr>
          <w:rFonts w:eastAsia="Noto Sans CJK SC" w:ascii="Noto Sans CJK SC" w:hAnsi="Noto Sans CJK SC"/>
        </w:rPr>
        <w:t>智能人才库项目</w:t>
      </w:r>
    </w:p>
    <w:p>
      <w:pPr>
        <w:pStyle w:val="TitleCustom"/>
      </w:pPr>
      <w:r>
        <w:rPr>
          <w:rFonts w:eastAsia="Noto Sans CJK SC" w:ascii="Noto Sans CJK SC" w:hAnsi="Noto Sans CJK SC"/>
        </w:rPr>
        <w:t>第一轮开发任务包与迭代 Backlog</w:t>
      </w:r>
    </w:p>
    <w:p>
      <w:pPr>
        <w:pStyle w:val="SubtitleCustom"/>
      </w:pPr>
      <w:r>
        <w:rPr>
          <w:rFonts w:eastAsia="Noto Sans CJK SC" w:ascii="Noto Sans CJK SC" w:hAnsi="Noto Sans CJK SC"/>
        </w:rPr>
        <w:t>适用范围：学术人才子系统 MVP｜文档编号：25｜版本：V1.0｜阶段：开发准备 / 开发实现</w:t>
      </w:r>
    </w:p>
    <w:p>
      <w:pPr>
        <w:pBdr>
          <w:bottom w:val="single" w:sz="10" w:space="1" w:color="7FA5D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2479"/>
        <w:gridCol w:w="2479"/>
        <w:gridCol w:w="2479"/>
        <w:gridCol w:w="2479"/>
      </w:tblGrid>
      <w:tr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文档定位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开发排期与任务拆解执行文档</w:t>
            </w:r>
          </w:p>
        </w:tc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适用对象</w:t>
            </w:r>
          </w:p>
        </w:tc>
        <w:tc>
          <w:tcPr>
            <w:tcW w:type="dxa" w:w="277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项目 Owner / 开发 / Claude Code / 评审者</w:t>
            </w:r>
          </w:p>
        </w:tc>
      </w:tr>
      <w:tr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适用范围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第一阶段学术人才子系统 MVP</w:t>
            </w:r>
          </w:p>
        </w:tc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对应方法</w:t>
            </w:r>
          </w:p>
        </w:tc>
        <w:tc>
          <w:tcPr>
            <w:tcW w:type="dxa" w:w="277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Stage-Gated Agile + 小步快跑任务包</w:t>
            </w:r>
          </w:p>
        </w:tc>
      </w:tr>
      <w:tr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关联文档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20/21 冻结单、22 目录结构、23 协同规范、24 测试与验收</w:t>
            </w:r>
          </w:p>
        </w:tc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使用方式</w:t>
            </w:r>
          </w:p>
        </w:tc>
        <w:tc>
          <w:tcPr>
            <w:tcW w:type="dxa" w:w="277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作为 Claude Code 首轮开发与每轮 review 的任务基线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1. 文档目的</w:t>
      </w:r>
    </w:p>
    <w:p>
      <w:pPr>
        <w:spacing w:line="317" w:lineRule="auto" w:after="80"/>
      </w:pPr>
      <w:r>
        <w:rPr>
          <w:rFonts w:eastAsia="Noto Sans CJK SC" w:ascii="Noto Sans CJK SC" w:hAnsi="Noto Sans CJK SC"/>
          <w:sz w:val="20"/>
        </w:rPr>
        <w:t>本文件用于把学术人才子系统 MVP 从“文档已齐备”推进到“可以按节奏执行开发”。相较于总体方案、详细设计和协同规范，本文件聚焦两件事：一是明确每一轮迭代到底做什么、不做什么；二是把第一轮任务包拆到足以直接交给 Claude Code 执行并由你 review。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AFC1D6"/>
          <w:left w:val="single" w:sz="8" w:space="0" w:color="AFC1D6"/>
          <w:bottom w:val="single" w:sz="8" w:space="0" w:color="AFC1D6"/>
          <w:right w:val="single" w:sz="8" w:space="0" w:color="AFC1D6"/>
          <w:insideH w:val="single" w:sz="8" w:space="0" w:color="AFC1D6"/>
          <w:insideV w:val="single" w:sz="8" w:space="0" w:color="AFC1D6"/>
        </w:tblBorders>
      </w:tblPr>
      <w:tblGrid>
        <w:gridCol w:w="9916"/>
      </w:tblGrid>
      <w:tr>
        <w:tc>
          <w:tcPr>
            <w:tcW w:type="dxa" w:w="9916"/>
            <w:shd w:fill="F4F7FB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rFonts w:eastAsia="Noto Sans CJK SC" w:ascii="Noto Sans CJK SC" w:hAnsi="Noto Sans CJK SC"/>
                <w:b/>
                <w:sz w:val="20"/>
              </w:rPr>
              <w:t>本文件的执行原则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先做底座，再做前台；先保正确性，再做表现层完善。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每轮只做一小包，必须有可运行结果、验证方法和已知问题说明。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任何任务若会影响权限、统计或版本切换，必须纳入专项 review。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2. 总体迭代节奏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2479"/>
        <w:gridCol w:w="2479"/>
        <w:gridCol w:w="2479"/>
        <w:gridCol w:w="2479"/>
      </w:tblGrid>
      <w:tr>
        <w:tc>
          <w:tcPr>
            <w:tcW w:type="dxa" w:w="1191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迭代</w:t>
            </w:r>
          </w:p>
        </w:tc>
        <w:tc>
          <w:tcPr>
            <w:tcW w:type="dxa" w:w="1701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目标</w:t>
            </w:r>
          </w:p>
        </w:tc>
        <w:tc>
          <w:tcPr>
            <w:tcW w:type="dxa" w:w="2041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主要模块</w:t>
            </w:r>
          </w:p>
        </w:tc>
        <w:tc>
          <w:tcPr>
            <w:tcW w:type="dxa" w:w="3402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交付结果</w:t>
            </w:r>
          </w:p>
        </w:tc>
      </w:tr>
      <w:tr>
        <w:tc>
          <w:tcPr>
            <w:tcW w:type="dxa" w:w="119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Iteration 1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打底座、建对象、能 smoke</w:t>
            </w:r>
          </w:p>
        </w:tc>
        <w:tc>
          <w:tcPr>
            <w:tcW w:type="dxa" w:w="204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M8 为主，补最小 read API</w:t>
            </w:r>
          </w:p>
        </w:tc>
        <w:tc>
          <w:tcPr>
            <w:tcW w:type="dxa" w:w="340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工程骨架、migration、同步与构建、active version、最小接口</w:t>
            </w:r>
          </w:p>
        </w:tc>
      </w:tr>
      <w:tr>
        <w:tc>
          <w:tcPr>
            <w:tcW w:type="dxa" w:w="119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Iteration 2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形成最小前台主链路</w:t>
            </w:r>
          </w:p>
        </w:tc>
        <w:tc>
          <w:tcPr>
            <w:tcW w:type="dxa" w:w="204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M1/M2/M3/M4</w:t>
            </w:r>
          </w:p>
        </w:tc>
        <w:tc>
          <w:tcPr>
            <w:tcW w:type="dxa" w:w="340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首页、目录、学校页、人才列表可联调</w:t>
            </w:r>
          </w:p>
        </w:tc>
      </w:tr>
      <w:tr>
        <w:tc>
          <w:tcPr>
            <w:tcW w:type="dxa" w:w="119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Iteration 3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补搜索、权限配置与详情</w:t>
            </w:r>
          </w:p>
        </w:tc>
        <w:tc>
          <w:tcPr>
            <w:tcW w:type="dxa" w:w="204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M6/M7/M5</w:t>
            </w:r>
          </w:p>
        </w:tc>
        <w:tc>
          <w:tcPr>
            <w:tcW w:type="dxa" w:w="340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搜索可用、权限管理可用、人才详情可用</w:t>
            </w:r>
          </w:p>
        </w:tc>
      </w:tr>
      <w:tr>
        <w:tc>
          <w:tcPr>
            <w:tcW w:type="dxa" w:w="119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Iteration 4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收敛异常、日志、回归与试运行门禁</w:t>
            </w:r>
          </w:p>
        </w:tc>
        <w:tc>
          <w:tcPr>
            <w:tcW w:type="dxa" w:w="204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跨模块收敛</w:t>
            </w:r>
          </w:p>
        </w:tc>
        <w:tc>
          <w:tcPr>
            <w:tcW w:type="dxa" w:w="340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高标准 MVP 可试运行版本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3. 迭代 Backlog 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1983"/>
        <w:gridCol w:w="1983"/>
        <w:gridCol w:w="1983"/>
        <w:gridCol w:w="1983"/>
        <w:gridCol w:w="1983"/>
      </w:tblGrid>
      <w:tr>
        <w:tc>
          <w:tcPr>
            <w:tcW w:type="dxa" w:w="1077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Backlog ID</w:t>
            </w:r>
          </w:p>
        </w:tc>
        <w:tc>
          <w:tcPr>
            <w:tcW w:type="dxa" w:w="680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优先级</w:t>
            </w:r>
          </w:p>
        </w:tc>
        <w:tc>
          <w:tcPr>
            <w:tcW w:type="dxa" w:w="3969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内容</w:t>
            </w:r>
          </w:p>
        </w:tc>
        <w:tc>
          <w:tcPr>
            <w:tcW w:type="dxa" w:w="113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归属迭代</w:t>
            </w:r>
          </w:p>
        </w:tc>
        <w:tc>
          <w:tcPr>
            <w:tcW w:type="dxa" w:w="1871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备注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BL-01</w:t>
            </w:r>
          </w:p>
        </w:tc>
        <w:tc>
          <w:tcPr>
            <w:tcW w:type="dxa" w:w="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</w:t>
            </w:r>
          </w:p>
        </w:tc>
        <w:tc>
          <w:tcPr>
            <w:tcW w:type="dxa" w:w="396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工程骨架、运行脚本、环境变量模板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I1</w:t>
            </w:r>
          </w:p>
        </w:tc>
        <w:tc>
          <w:tcPr>
            <w:tcW w:type="dxa" w:w="187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开发启动前必须完成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BL-02</w:t>
            </w:r>
          </w:p>
        </w:tc>
        <w:tc>
          <w:tcPr>
            <w:tcW w:type="dxa" w:w="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</w:t>
            </w:r>
          </w:p>
        </w:tc>
        <w:tc>
          <w:tcPr>
            <w:tcW w:type="dxa" w:w="396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数据库 migration、seed、枚举管理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I1</w:t>
            </w:r>
          </w:p>
        </w:tc>
        <w:tc>
          <w:tcPr>
            <w:tcW w:type="dxa" w:w="187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与详细设计、数据字典对齐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BL-03</w:t>
            </w:r>
          </w:p>
        </w:tc>
        <w:tc>
          <w:tcPr>
            <w:tcW w:type="dxa" w:w="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</w:t>
            </w:r>
          </w:p>
        </w:tc>
        <w:tc>
          <w:tcPr>
            <w:tcW w:type="dxa" w:w="396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OpenAlex connector、sync_batch、raw_source_record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I1</w:t>
            </w:r>
          </w:p>
        </w:tc>
        <w:tc>
          <w:tcPr>
            <w:tcW w:type="dxa" w:w="187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支持失败重试和分页拉取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BL-04</w:t>
            </w:r>
          </w:p>
        </w:tc>
        <w:tc>
          <w:tcPr>
            <w:tcW w:type="dxa" w:w="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</w:t>
            </w:r>
          </w:p>
        </w:tc>
        <w:tc>
          <w:tcPr>
            <w:tcW w:type="dxa" w:w="396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school/talent/role/stat/search projection 构建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I1</w:t>
            </w:r>
          </w:p>
        </w:tc>
        <w:tc>
          <w:tcPr>
            <w:tcW w:type="dxa" w:w="187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产出前台可消费对象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BL-05</w:t>
            </w:r>
          </w:p>
        </w:tc>
        <w:tc>
          <w:tcPr>
            <w:tcW w:type="dxa" w:w="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</w:t>
            </w:r>
          </w:p>
        </w:tc>
        <w:tc>
          <w:tcPr>
            <w:tcW w:type="dxa" w:w="396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current_active_version 机制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I1</w:t>
            </w:r>
          </w:p>
        </w:tc>
        <w:tc>
          <w:tcPr>
            <w:tcW w:type="dxa" w:w="187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失败批次不得切换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BL-06</w:t>
            </w:r>
          </w:p>
        </w:tc>
        <w:tc>
          <w:tcPr>
            <w:tcW w:type="dxa" w:w="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</w:t>
            </w:r>
          </w:p>
        </w:tc>
        <w:tc>
          <w:tcPr>
            <w:tcW w:type="dxa" w:w="396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overview / countries / schools / school details / school talents API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I1/I2</w:t>
            </w:r>
          </w:p>
        </w:tc>
        <w:tc>
          <w:tcPr>
            <w:tcW w:type="dxa" w:w="187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I1 先 smoke，I2 再完善字段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BL-07</w:t>
            </w:r>
          </w:p>
        </w:tc>
        <w:tc>
          <w:tcPr>
            <w:tcW w:type="dxa" w:w="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</w:t>
            </w:r>
          </w:p>
        </w:tc>
        <w:tc>
          <w:tcPr>
            <w:tcW w:type="dxa" w:w="396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首页总览、国家-学校目录、学校页、人才列表前端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I2</w:t>
            </w:r>
          </w:p>
        </w:tc>
        <w:tc>
          <w:tcPr>
            <w:tcW w:type="dxa" w:w="187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教授视图卡片化、学生视图表格化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BL-08</w:t>
            </w:r>
          </w:p>
        </w:tc>
        <w:tc>
          <w:tcPr>
            <w:tcW w:type="dxa" w:w="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</w:t>
            </w:r>
          </w:p>
        </w:tc>
        <w:tc>
          <w:tcPr>
            <w:tcW w:type="dxa" w:w="396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搜索服务与搜索页接入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I3</w:t>
            </w:r>
          </w:p>
        </w:tc>
        <w:tc>
          <w:tcPr>
            <w:tcW w:type="dxa" w:w="187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支持姓名/学校/方向关键字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BL-09</w:t>
            </w:r>
          </w:p>
        </w:tc>
        <w:tc>
          <w:tcPr>
            <w:tcW w:type="dxa" w:w="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</w:t>
            </w:r>
          </w:p>
        </w:tc>
        <w:tc>
          <w:tcPr>
            <w:tcW w:type="dxa" w:w="396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管理员权限配置页与接口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I3</w:t>
            </w:r>
          </w:p>
        </w:tc>
        <w:tc>
          <w:tcPr>
            <w:tcW w:type="dxa" w:w="187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即时生效与审计日志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BL-10</w:t>
            </w:r>
          </w:p>
        </w:tc>
        <w:tc>
          <w:tcPr>
            <w:tcW w:type="dxa" w:w="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</w:t>
            </w:r>
          </w:p>
        </w:tc>
        <w:tc>
          <w:tcPr>
            <w:tcW w:type="dxa" w:w="396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人才详情页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I3</w:t>
            </w:r>
          </w:p>
        </w:tc>
        <w:tc>
          <w:tcPr>
            <w:tcW w:type="dxa" w:w="187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以判断是否值得跟进为目标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BL-11</w:t>
            </w:r>
          </w:p>
        </w:tc>
        <w:tc>
          <w:tcPr>
            <w:tcW w:type="dxa" w:w="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</w:t>
            </w:r>
          </w:p>
        </w:tc>
        <w:tc>
          <w:tcPr>
            <w:tcW w:type="dxa" w:w="396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异常态、日志、缓存策略、回归修复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I4</w:t>
            </w:r>
          </w:p>
        </w:tc>
        <w:tc>
          <w:tcPr>
            <w:tcW w:type="dxa" w:w="187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发布前收敛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BL-12</w:t>
            </w:r>
          </w:p>
        </w:tc>
        <w:tc>
          <w:tcPr>
            <w:tcW w:type="dxa" w:w="6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P1</w:t>
            </w:r>
          </w:p>
        </w:tc>
        <w:tc>
          <w:tcPr>
            <w:tcW w:type="dxa" w:w="396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排序优化、导出模板、学院/实验室预留增强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后续</w:t>
            </w:r>
          </w:p>
        </w:tc>
        <w:tc>
          <w:tcPr>
            <w:tcW w:type="dxa" w:w="187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不阻塞 MVP 开工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4. 第一轮开发目标（Iteration 1）</w:t>
      </w:r>
    </w:p>
    <w:p>
      <w:pPr>
        <w:spacing w:line="317" w:lineRule="auto" w:after="80"/>
      </w:pPr>
      <w:r>
        <w:rPr>
          <w:rFonts w:eastAsia="Noto Sans CJK SC" w:ascii="Noto Sans CJK SC" w:hAnsi="Noto Sans CJK SC"/>
          <w:sz w:val="20"/>
        </w:rPr>
        <w:t>Iteration 1 的目标不是把整个 MVP 一次性写完，而是完成“可运行底座 + 可复跑数据构建 + 可 smoke 的最小查询面”。只要这一轮完成，你就拥有可以持续往上堆前台和规则能力的稳定底盘。</w:t>
      </w:r>
    </w:p>
    <w:p>
      <w:pPr>
        <w:spacing w:line="317" w:lineRule="auto" w:after="80"/>
        <w:ind w:left="329" w:hanging="193"/>
      </w:pPr>
      <w:r>
        <w:rPr>
          <w:rFonts w:eastAsia="Noto Sans CJK SC" w:ascii="Noto Sans CJK SC" w:hAnsi="Noto Sans CJK SC"/>
          <w:sz w:val="20"/>
        </w:rPr>
        <w:t>• 本轮完成后应至少满足以下结果：</w:t>
      </w:r>
    </w:p>
    <w:p>
      <w:pPr>
        <w:spacing w:line="317" w:lineRule="auto" w:after="80"/>
        <w:ind w:left="329" w:hanging="193"/>
      </w:pPr>
      <w:r>
        <w:rPr>
          <w:rFonts w:eastAsia="Noto Sans CJK SC" w:ascii="Noto Sans CJK SC" w:hAnsi="Noto Sans CJK SC"/>
          <w:sz w:val="20"/>
        </w:rPr>
        <w:t>• 本地可一键启动 PostgreSQL、后端服务和前端空壳页面，migration 与 seed 可执行。</w:t>
      </w:r>
    </w:p>
    <w:p>
      <w:pPr>
        <w:spacing w:line="317" w:lineRule="auto" w:after="80"/>
        <w:ind w:left="329" w:hanging="193"/>
      </w:pPr>
      <w:r>
        <w:rPr>
          <w:rFonts w:eastAsia="Noto Sans CJK SC" w:ascii="Noto Sans CJK SC" w:hAnsi="Noto Sans CJK SC"/>
          <w:sz w:val="20"/>
        </w:rPr>
        <w:t>• 能够触发一次 OpenAlex 同步批次，写入原始记录，并构建 school / talent / role / stat / search projection。</w:t>
      </w:r>
    </w:p>
    <w:p>
      <w:pPr>
        <w:spacing w:line="317" w:lineRule="auto" w:after="80"/>
        <w:ind w:left="329" w:hanging="193"/>
      </w:pPr>
      <w:r>
        <w:rPr>
          <w:rFonts w:eastAsia="Noto Sans CJK SC" w:ascii="Noto Sans CJK SC" w:hAnsi="Noto Sans CJK SC"/>
          <w:sz w:val="20"/>
        </w:rPr>
        <w:t>• 能够维护并切换 current_active_version；失败批次不影响旧版本服务。</w:t>
      </w:r>
    </w:p>
    <w:p>
      <w:pPr>
        <w:spacing w:line="317" w:lineRule="auto" w:after="80"/>
        <w:ind w:left="329" w:hanging="193"/>
      </w:pPr>
      <w:r>
        <w:rPr>
          <w:rFonts w:eastAsia="Noto Sans CJK SC" w:ascii="Noto Sans CJK SC" w:hAnsi="Noto Sans CJK SC"/>
          <w:sz w:val="20"/>
        </w:rPr>
        <w:t>• 至少提供 /health、/overview、/countries、/schools、/schools/{id}、/schools/{id}/talents 六个 smoke 接口。</w:t>
      </w:r>
    </w:p>
    <w:p>
      <w:pPr>
        <w:spacing w:line="317" w:lineRule="auto" w:after="80"/>
        <w:ind w:left="329" w:hanging="193"/>
      </w:pPr>
      <w:r>
        <w:rPr>
          <w:rFonts w:eastAsia="Noto Sans CJK SC" w:ascii="Noto Sans CJK SC" w:hAnsi="Noto Sans CJK SC"/>
          <w:sz w:val="20"/>
        </w:rPr>
        <w:t>• 学校范围权限在 smoke 接口中统一生效。</w:t>
      </w:r>
    </w:p>
    <w:p>
      <w:pPr>
        <w:pStyle w:val="Heading1"/>
      </w:pPr>
      <w:r>
        <w:rPr>
          <w:rFonts w:eastAsia="Noto Sans CJK SC" w:ascii="Noto Sans CJK SC" w:hAnsi="Noto Sans CJK SC"/>
        </w:rPr>
        <w:t>5. 第一轮任务包拆解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2479"/>
        <w:gridCol w:w="2479"/>
        <w:gridCol w:w="2479"/>
        <w:gridCol w:w="2479"/>
      </w:tblGrid>
      <w:tr>
        <w:tc>
          <w:tcPr>
            <w:tcW w:type="dxa" w:w="1531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任务包</w:t>
            </w:r>
          </w:p>
        </w:tc>
        <w:tc>
          <w:tcPr>
            <w:tcW w:type="dxa" w:w="147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目标</w:t>
            </w:r>
          </w:p>
        </w:tc>
        <w:tc>
          <w:tcPr>
            <w:tcW w:type="dxa" w:w="3061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主要输出</w:t>
            </w:r>
          </w:p>
        </w:tc>
        <w:tc>
          <w:tcPr>
            <w:tcW w:type="dxa" w:w="249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完成定义</w:t>
            </w:r>
          </w:p>
        </w:tc>
      </w:tr>
      <w:tr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TP-01 工程骨架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建立可运行工程底盘</w:t>
            </w:r>
          </w:p>
        </w:tc>
        <w:tc>
          <w:tcPr>
            <w:tcW w:type="dxa" w:w="30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backend / frontend / scripts / deploy / .env.example / health API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docker compose 与本地直跑均可启动；lint/test 命令可执行</w:t>
            </w:r>
          </w:p>
        </w:tc>
      </w:tr>
      <w:tr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TP-02 数据库初始化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把详细设计落成 migration</w:t>
            </w:r>
          </w:p>
        </w:tc>
        <w:tc>
          <w:tcPr>
            <w:tcW w:type="dxa" w:w="30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核心表、索引、枚举、seed、管理员初始账号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正反向 migration 正常；seed 可重复执行</w:t>
            </w:r>
          </w:p>
        </w:tc>
      </w:tr>
      <w:tr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TP-03 来源同步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建立 OpenAlex 最小接入闭环</w:t>
            </w:r>
          </w:p>
        </w:tc>
        <w:tc>
          <w:tcPr>
            <w:tcW w:type="dxa" w:w="30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OpenAlex client、分页拉取、sync_batch、raw_source_record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批次状态完整；失败可观察、可重跑</w:t>
            </w:r>
          </w:p>
        </w:tc>
      </w:tr>
      <w:tr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TP-04 对象构建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把来源对象转成前台对象</w:t>
            </w:r>
          </w:p>
        </w:tc>
        <w:tc>
          <w:tcPr>
            <w:tcW w:type="dxa" w:w="30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school/talent/role/stat/search projection 构建脚本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一次构建后前台可读对象齐备；冲突记录不静默丢弃</w:t>
            </w:r>
          </w:p>
        </w:tc>
      </w:tr>
      <w:tr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TP-05 版本切换与 smoke API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建立稳定读取面</w:t>
            </w:r>
          </w:p>
        </w:tc>
        <w:tc>
          <w:tcPr>
            <w:tcW w:type="dxa" w:w="30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current_active_version、overview/countries/schools/... 接口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旧版可保留，新版切换一致；权限过滤生效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6. 第一轮任务包执行顺序</w:t>
      </w:r>
    </w:p>
    <w:p>
      <w:pPr>
        <w:spacing w:line="317" w:lineRule="auto" w:after="80"/>
      </w:pPr>
      <w:r>
        <w:rPr>
          <w:rFonts w:eastAsia="Noto Sans CJK SC" w:ascii="Noto Sans CJK SC" w:hAnsi="Noto Sans CJK SC"/>
          <w:sz w:val="20"/>
        </w:rPr>
        <w:t>建议严格按 TP-01 → TP-02 → TP-03 → TP-04 → TP-05 顺序执行。TP-03 之前不要写复杂页面；TP-04 未稳定前不要提前做搜索排序；TP-05 完成前不要宣称“第一轮开发完成”。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AFC1D6"/>
          <w:left w:val="single" w:sz="8" w:space="0" w:color="AFC1D6"/>
          <w:bottom w:val="single" w:sz="8" w:space="0" w:color="AFC1D6"/>
          <w:right w:val="single" w:sz="8" w:space="0" w:color="AFC1D6"/>
          <w:insideH w:val="single" w:sz="8" w:space="0" w:color="AFC1D6"/>
          <w:insideV w:val="single" w:sz="8" w:space="0" w:color="AFC1D6"/>
        </w:tblBorders>
      </w:tblPr>
      <w:tblGrid>
        <w:gridCol w:w="9916"/>
      </w:tblGrid>
      <w:tr>
        <w:tc>
          <w:tcPr>
            <w:tcW w:type="dxa" w:w="9916"/>
            <w:shd w:fill="F4F7FB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rFonts w:eastAsia="Noto Sans CJK SC" w:ascii="Noto Sans CJK SC" w:hAnsi="Noto Sans CJK SC"/>
                <w:b/>
                <w:sz w:val="20"/>
              </w:rPr>
              <w:t>不建议在第一轮同时展开的事项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不要一边做底座一边平行做大量高保真前端页面。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不要在未冻结基础接口前先写复杂前端状态管理。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不要把多源接入、学院/实验室浏览、复杂评分模型并进 Iteration 1。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7. 每个任务包的标准输入与标准输出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4958"/>
        <w:gridCol w:w="4958"/>
      </w:tblGrid>
      <w:tr>
        <w:tc>
          <w:tcPr>
            <w:tcW w:type="dxa" w:w="147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项</w:t>
            </w:r>
          </w:p>
        </w:tc>
        <w:tc>
          <w:tcPr>
            <w:tcW w:type="dxa" w:w="6746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要求</w:t>
            </w:r>
          </w:p>
        </w:tc>
      </w:tr>
      <w:tr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标准输入</w:t>
            </w:r>
          </w:p>
        </w:tc>
        <w:tc>
          <w:tcPr>
            <w:tcW w:type="dxa" w:w="674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任务目标、范围边界、涉及文档、字段/表/API 范围、完成定义、禁止事项。</w:t>
            </w:r>
          </w:p>
        </w:tc>
      </w:tr>
      <w:tr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标准输出</w:t>
            </w:r>
          </w:p>
        </w:tc>
        <w:tc>
          <w:tcPr>
            <w:tcW w:type="dxa" w:w="674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修改文件清单、运行命令、数据结构变化、接口变化、测试结果、已知问题、下轮建议。</w:t>
            </w:r>
          </w:p>
        </w:tc>
      </w:tr>
      <w:tr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review 重点</w:t>
            </w:r>
          </w:p>
        </w:tc>
        <w:tc>
          <w:tcPr>
            <w:tcW w:type="dxa" w:w="674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是否越界、是否与冻结单冲突、是否影响权限/统计/版本切换、是否具备可运行验证。</w:t>
            </w:r>
          </w:p>
        </w:tc>
      </w:tr>
      <w:tr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归档要求</w:t>
            </w:r>
          </w:p>
        </w:tc>
        <w:tc>
          <w:tcPr>
            <w:tcW w:type="dxa" w:w="674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任务包文档、Claude Code 提示词、关键截图/日志、缺陷与后续问题单。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8. Definition of Done（任务完成定义）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4958"/>
        <w:gridCol w:w="4958"/>
      </w:tblGrid>
      <w:tr>
        <w:tc>
          <w:tcPr>
            <w:tcW w:type="dxa" w:w="147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层级</w:t>
            </w:r>
          </w:p>
        </w:tc>
        <w:tc>
          <w:tcPr>
            <w:tcW w:type="dxa" w:w="6690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完成定义</w:t>
            </w:r>
          </w:p>
        </w:tc>
      </w:tr>
      <w:tr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单任务</w:t>
            </w:r>
          </w:p>
        </w:tc>
        <w:tc>
          <w:tcPr>
            <w:tcW w:type="dxa" w:w="66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代码可运行；相关命令可复现；有最小验证结果；无未说明的越界改动。</w:t>
            </w:r>
          </w:p>
        </w:tc>
      </w:tr>
      <w:tr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单任务包</w:t>
            </w:r>
          </w:p>
        </w:tc>
        <w:tc>
          <w:tcPr>
            <w:tcW w:type="dxa" w:w="66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目标范围全部完成；核心 happy path 通过；异常或边界场景至少覆盖 1～2 条；已知问题明确列出。</w:t>
            </w:r>
          </w:p>
        </w:tc>
      </w:tr>
      <w:tr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单迭代</w:t>
            </w:r>
          </w:p>
        </w:tc>
        <w:tc>
          <w:tcPr>
            <w:tcW w:type="dxa" w:w="66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对应任务包全部完成；24 号测试与验收文档中的相关用例可执行；P0 问题清零。</w:t>
            </w:r>
          </w:p>
        </w:tc>
      </w:tr>
      <w:tr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进入下一迭代</w:t>
            </w:r>
          </w:p>
        </w:tc>
        <w:tc>
          <w:tcPr>
            <w:tcW w:type="dxa" w:w="66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当前迭代交付物已归档；接口/规则/目录结构未产生失控漂移；Owner 完成 review 与取舍。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9. 风险、依赖与决策点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3305"/>
        <w:gridCol w:w="3305"/>
        <w:gridCol w:w="3305"/>
      </w:tblGrid>
      <w:tr>
        <w:tc>
          <w:tcPr>
            <w:tcW w:type="dxa" w:w="1701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风险/依赖</w:t>
            </w:r>
          </w:p>
        </w:tc>
        <w:tc>
          <w:tcPr>
            <w:tcW w:type="dxa" w:w="3402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说明</w:t>
            </w:r>
          </w:p>
        </w:tc>
        <w:tc>
          <w:tcPr>
            <w:tcW w:type="dxa" w:w="3061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建议动作</w:t>
            </w:r>
          </w:p>
        </w:tc>
      </w:tr>
      <w:tr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首批数据范围未冻结</w:t>
            </w:r>
          </w:p>
        </w:tc>
        <w:tc>
          <w:tcPr>
            <w:tcW w:type="dxa" w:w="340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没有 seed scope，容易导致同步接口虽能跑但缺少验收样本</w:t>
            </w:r>
          </w:p>
        </w:tc>
        <w:tc>
          <w:tcPr>
            <w:tcW w:type="dxa" w:w="30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尽快单独补一页首批国家/学校/方向样本范围表</w:t>
            </w:r>
          </w:p>
        </w:tc>
      </w:tr>
      <w:tr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版本指针未显式设计</w:t>
            </w:r>
          </w:p>
        </w:tc>
        <w:tc>
          <w:tcPr>
            <w:tcW w:type="dxa" w:w="340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若 current_active_version 设计含糊，后续前台口径容易分叉</w:t>
            </w:r>
          </w:p>
        </w:tc>
        <w:tc>
          <w:tcPr>
            <w:tcW w:type="dxa" w:w="30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在 TP-02 就落 sys_active_version 或等价表</w:t>
            </w:r>
          </w:p>
        </w:tc>
      </w:tr>
      <w:tr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代表成果对象落库方式未完全冻结</w:t>
            </w:r>
          </w:p>
        </w:tc>
        <w:tc>
          <w:tcPr>
            <w:tcW w:type="dxa" w:w="340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会影响详情页与列表摘要的字段来源</w:t>
            </w:r>
          </w:p>
        </w:tc>
        <w:tc>
          <w:tcPr>
            <w:tcW w:type="dxa" w:w="30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在 TP-04 先定义最小成果对象，不追求一轮做深</w:t>
            </w:r>
          </w:p>
        </w:tc>
      </w:tr>
      <w:tr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前端字段状态未冻结</w:t>
            </w:r>
          </w:p>
        </w:tc>
        <w:tc>
          <w:tcPr>
            <w:tcW w:type="dxa" w:w="340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会造成页面接入时字段反复改名</w:t>
            </w:r>
          </w:p>
        </w:tc>
        <w:tc>
          <w:tcPr>
            <w:tcW w:type="dxa" w:w="30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建议在 Iteration 2 前补页面字段与状态冻结表</w:t>
            </w:r>
          </w:p>
        </w:tc>
      </w:tr>
      <w:tr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单人并行过多</w:t>
            </w:r>
          </w:p>
        </w:tc>
        <w:tc>
          <w:tcPr>
            <w:tcW w:type="dxa" w:w="340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容易造成上下文丢失和 review 失控</w:t>
            </w:r>
          </w:p>
        </w:tc>
        <w:tc>
          <w:tcPr>
            <w:tcW w:type="dxa" w:w="30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一次只推进一个任务包，严格按 23 号协同规范执行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10. 建议的下一步动作</w:t>
      </w:r>
    </w:p>
    <w:p>
      <w:pPr>
        <w:spacing w:line="317" w:lineRule="auto" w:after="80"/>
      </w:pPr>
      <w:r>
        <w:rPr>
          <w:rFonts w:eastAsia="Noto Sans CJK SC" w:ascii="Noto Sans CJK SC" w:hAnsi="Noto Sans CJK SC"/>
          <w:sz w:val="20"/>
        </w:rPr>
        <w:t>当前最建议的实际执行路径是：先用本文件启动 TP-01 和 TP-02；等数据库与脚本底座跑通后，再把 TP-03～TP-05 交给 Claude Code 分包推进。与此同时，项目 Owner 只补两类文档：首批数据范围清单，以及 Iteration 2 前要用到的页面字段与状态冻结表。</w:t>
      </w:r>
    </w:p>
    <w:p>
      <w:pPr>
        <w:spacing w:line="317" w:lineRule="auto" w:after="80"/>
      </w:pPr>
      <w:r>
        <w:rPr>
          <w:rFonts w:eastAsia="Noto Sans CJK SC" w:ascii="Noto Sans CJK SC" w:hAnsi="Noto Sans CJK SC"/>
          <w:sz w:val="20"/>
        </w:rPr>
        <w:t>这样做的好处是：你不会被“文档很多但无法开工”卡住，也不会在没有底盘的情况下过早陷入前端细节。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62" w:bottom="964" w:left="116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Noto Sans CJK SC" w:ascii="Noto Sans CJK SC" w:hAnsi="Noto Sans CJK SC"/>
        <w:color w:val="666666"/>
        <w:sz w:val="16"/>
      </w:rPr>
      <w:t>内部项目文件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Noto Sans CJK SC" w:ascii="Noto Sans CJK SC" w:hAnsi="Noto Sans CJK SC"/>
        <w:color w:val="666666"/>
        <w:sz w:val="16"/>
      </w:rPr>
      <w:t>智能人才库项目｜第一轮开发任务包与迭代Backlog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A2A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2A2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2A2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 Custom"/>
    <w:pPr>
      <w:jc w:val="center"/>
    </w:pPr>
    <w:rPr>
      <w:rFonts w:ascii="Noto Sans CJK SC" w:hAnsi="Noto Sans CJK SC" w:eastAsia="Noto Sans CJK SC"/>
      <w:b/>
      <w:sz w:val="40"/>
    </w:rPr>
  </w:style>
  <w:style w:type="paragraph" w:customStyle="1" w:styleId="SubtitleCustom">
    <w:name w:val="Subtitle Custom"/>
    <w:pPr>
      <w:jc w:val="center"/>
    </w:pPr>
    <w:rPr>
      <w:rFonts w:ascii="Noto Sans CJK SC" w:hAnsi="Noto Sans CJK SC" w:eastAsia="Noto Sans CJK SC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