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rPr>
          <w:rFonts w:eastAsia="Noto Sans CJK SC" w:ascii="Noto Sans CJK SC" w:hAnsi="Noto Sans CJK SC"/>
        </w:rPr>
        <w:t>智能人才库项目</w:t>
      </w:r>
    </w:p>
    <w:p>
      <w:pPr>
        <w:pStyle w:val="TitleCustom"/>
      </w:pPr>
      <w:r>
        <w:rPr>
          <w:rFonts w:eastAsia="Noto Sans CJK SC" w:ascii="Noto Sans CJK SC" w:hAnsi="Noto Sans CJK SC"/>
        </w:rPr>
        <w:t>首批数据范围清单（Seed Scope V0）</w:t>
      </w:r>
    </w:p>
    <w:p>
      <w:pPr>
        <w:pStyle w:val="SubtitleCustom"/>
      </w:pPr>
      <w:r>
        <w:rPr>
          <w:rFonts w:eastAsia="Noto Sans CJK SC" w:ascii="Noto Sans CJK SC" w:hAnsi="Noto Sans CJK SC"/>
        </w:rPr>
        <w:t>适用范围：学术人才子系统 MVP｜文档编号：27｜版本：V1.0</w:t>
      </w:r>
    </w:p>
    <w:p>
      <w:pPr>
        <w:pStyle w:val="SmallGrey"/>
      </w:pPr>
      <w:r>
        <w:rPr>
          <w:rFonts w:eastAsia="Noto Sans CJK SC" w:ascii="Noto Sans CJK SC" w:hAnsi="Noto Sans CJK SC"/>
        </w:rPr>
        <w:t>用于冻结首轮数据接入与联调的国家、学校、学科、批次与验收口径，降低第一轮 OpenAlex 联调发散风险</w:t>
      </w:r>
    </w:p>
    <w:p>
      <w:pPr>
        <w:pBdr>
          <w:bottom w:val="single" w:sz="10" w:space="1" w:color="7FA5D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2479"/>
        <w:gridCol w:w="2479"/>
        <w:gridCol w:w="2479"/>
        <w:gridCol w:w="2479"/>
      </w:tblGrid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适用对象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项目 Owner / 后端 / 数据接入 / 测试</w:t>
            </w:r>
          </w:p>
        </w:tc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关联阶段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详细设计 / 开发准备 / 首轮联调 / UAT 样本构建</w:t>
            </w:r>
          </w:p>
        </w:tc>
      </w:tr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编制日期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2026-03-18</w:t>
            </w:r>
          </w:p>
        </w:tc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关联文档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08 方案设计、09 数据技术架构、12 数据字典、16 数据库、17 模块设计、25 首轮任务包</w:t>
            </w:r>
          </w:p>
        </w:tc>
      </w:tr>
      <w:tr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文档定位</w:t>
            </w:r>
          </w:p>
        </w:tc>
        <w:tc>
          <w:tcPr>
            <w:tcW w:type="dxa" w:w="175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首批样本边界冻结文档</w:t>
            </w:r>
          </w:p>
        </w:tc>
        <w:tc>
          <w:tcPr>
            <w:tcW w:type="dxa" w:w="136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DDE7F3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b/>
                <w:sz w:val="18"/>
              </w:rPr>
              <w:t>使用方式</w:t>
            </w:r>
          </w:p>
        </w:tc>
        <w:tc>
          <w:tcPr>
            <w:tcW w:type="dxa" w:w="283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8"/>
              </w:rPr>
              <w:t>在不改变整体业务模型前提下，先冻结一组可跑通、可验收、可回归的数据样本边界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1. 文档目的与冻结边界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本文件不是长期数据战略文档，而是第一轮开发与联调的“样本边界单”。它的目标是：让 OpenAlex 来源接入、对象构建、权限测试、页面联调和 UAT 都围绕同一批国家/学校/学科样本展开，避免首轮开发因为样本过大、国家过多、学校过杂而发散。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本次仅冻结：首批国家范围、首批学校名单、学科覆盖范围、批次策略、最小样本要求、验收口径与扩容原则。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FC1D6"/>
          <w:left w:val="single" w:sz="8" w:space="0" w:color="AFC1D6"/>
          <w:bottom w:val="single" w:sz="8" w:space="0" w:color="AFC1D6"/>
          <w:right w:val="single" w:sz="8" w:space="0" w:color="AFC1D6"/>
          <w:insideH w:val="single" w:sz="8" w:space="0" w:color="AFC1D6"/>
          <w:insideV w:val="single" w:sz="8" w:space="0" w:color="AFC1D6"/>
        </w:tblBorders>
      </w:tblPr>
      <w:tblGrid>
        <w:gridCol w:w="9916"/>
      </w:tblGrid>
      <w:tr>
        <w:tc>
          <w:tcPr>
            <w:tcW w:type="dxa" w:w="9916"/>
            <w:shd w:fill="F4F7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eastAsia="Noto Sans CJK SC" w:ascii="Noto Sans CJK SC" w:hAnsi="Noto Sans CJK SC"/>
                <w:b/>
                <w:sz w:val="20"/>
              </w:rPr>
              <w:t>Seed Scope V0 的设计原则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先保证可跑通、可观察、可验收，再谈全量覆盖。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首批学校既要有国际对比，又要保持数量可控，能覆盖权限、别名、缺失、角色识别等关键测试场景。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学校白名单优先于泛化检索；首轮以白名单方式控制样本边界。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2. 冻结策略总览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3305"/>
        <w:gridCol w:w="3305"/>
        <w:gridCol w:w="3305"/>
      </w:tblGrid>
      <w:tr>
        <w:tc>
          <w:tcPr>
            <w:tcW w:type="dxa" w:w="107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维度</w:t>
            </w:r>
          </w:p>
        </w:tc>
        <w:tc>
          <w:tcPr>
            <w:tcW w:type="dxa" w:w="2778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冻结结论</w:t>
            </w:r>
          </w:p>
        </w:tc>
        <w:tc>
          <w:tcPr>
            <w:tcW w:type="dxa" w:w="4309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国家层</w:t>
            </w:r>
          </w:p>
        </w:tc>
        <w:tc>
          <w:tcPr>
            <w:tcW w:type="dxa" w:w="277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采用“两层样本”策略：Smoke 层 + UAT 扩展层</w:t>
            </w:r>
          </w:p>
        </w:tc>
        <w:tc>
          <w:tcPr>
            <w:tcW w:type="dxa" w:w="430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既满足最小跑通，又为后续业务试用准备更丰富样本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学校层</w:t>
            </w:r>
          </w:p>
        </w:tc>
        <w:tc>
          <w:tcPr>
            <w:tcW w:type="dxa" w:w="277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首轮按学校白名单接入，不按全球全量学校拉取</w:t>
            </w:r>
          </w:p>
        </w:tc>
        <w:tc>
          <w:tcPr>
            <w:tcW w:type="dxa" w:w="430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便于权限、目录、统计和回归测试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学科层</w:t>
            </w:r>
          </w:p>
        </w:tc>
        <w:tc>
          <w:tcPr>
            <w:tcW w:type="dxa" w:w="277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以 AI/CS 为主，兼顾电子/自动化/数据科学相关邻近方向</w:t>
            </w:r>
          </w:p>
        </w:tc>
        <w:tc>
          <w:tcPr>
            <w:tcW w:type="dxa" w:w="430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服务招聘场景，避免首轮学科过宽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对象层</w:t>
            </w:r>
          </w:p>
        </w:tc>
        <w:tc>
          <w:tcPr>
            <w:tcW w:type="dxa" w:w="277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首轮重点覆盖 school / talent / role_profile / stat_snapshot / search_projection</w:t>
            </w:r>
          </w:p>
        </w:tc>
        <w:tc>
          <w:tcPr>
            <w:tcW w:type="dxa" w:w="430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更复杂关系对象与多源对象后续补强</w:t>
            </w:r>
          </w:p>
        </w:tc>
      </w:tr>
      <w:tr>
        <w:tc>
          <w:tcPr>
            <w:tcW w:type="dxa" w:w="107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任务层</w:t>
            </w:r>
          </w:p>
        </w:tc>
        <w:tc>
          <w:tcPr>
            <w:tcW w:type="dxa" w:w="277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同步与构建按批次执行，采用 current_active_version 切换</w:t>
            </w:r>
          </w:p>
        </w:tc>
        <w:tc>
          <w:tcPr>
            <w:tcW w:type="dxa" w:w="430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失败批次不得影响上一版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3. 首批国家与学校名单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建议把首批数据范围拆成两层：A 层用于第一轮底座与 Smoke 验证；B 层用于学校目录、权限和 UAT 扩展。这样可以先跑小，再扩一圈。</w:t>
      </w:r>
    </w:p>
    <w:p>
      <w:pPr>
        <w:pStyle w:val="Heading2"/>
      </w:pPr>
      <w:r>
        <w:rPr>
          <w:rFonts w:eastAsia="Noto Sans CJK SC" w:ascii="Noto Sans CJK SC" w:hAnsi="Noto Sans CJK SC"/>
        </w:rPr>
        <w:t>3.1 A 层（Smoke / Iteration 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3305"/>
        <w:gridCol w:w="3305"/>
        <w:gridCol w:w="3305"/>
      </w:tblGrid>
      <w:tr>
        <w:tc>
          <w:tcPr>
            <w:tcW w:type="dxa" w:w="113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国家</w:t>
            </w:r>
          </w:p>
        </w:tc>
        <w:tc>
          <w:tcPr>
            <w:tcW w:type="dxa" w:w="3175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建议学校</w:t>
            </w:r>
          </w:p>
        </w:tc>
        <w:tc>
          <w:tcPr>
            <w:tcW w:type="dxa" w:w="3969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选择理由</w:t>
            </w:r>
          </w:p>
        </w:tc>
      </w:tr>
      <w:tr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中国</w:t>
            </w:r>
          </w:p>
        </w:tc>
        <w:tc>
          <w:tcPr>
            <w:tcW w:type="dxa" w:w="317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清华大学</w:t>
            </w:r>
          </w:p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7"/>
              </w:rPr>
              <w:t>北京大学</w:t>
            </w:r>
          </w:p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7"/>
              </w:rPr>
              <w:t>上海交通大学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便于验证中文名称、学校别名、国内样本与学生/教师混合画像</w:t>
            </w:r>
          </w:p>
        </w:tc>
      </w:tr>
      <w:tr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新加坡</w:t>
            </w:r>
          </w:p>
        </w:tc>
        <w:tc>
          <w:tcPr>
            <w:tcW w:type="dxa" w:w="317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National University of Singapore</w:t>
            </w:r>
          </w:p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7"/>
              </w:rPr>
              <w:t>Nanyang Technological University</w:t>
            </w:r>
          </w:p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7"/>
              </w:rPr>
              <w:t>Singapore University of Technology and Design</w:t>
            </w:r>
          </w:p>
        </w:tc>
        <w:tc>
          <w:tcPr>
            <w:tcW w:type="dxa" w:w="3969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国家层级少、学校数适中，适合做第二个授权国家样本</w:t>
            </w:r>
          </w:p>
        </w:tc>
      </w:tr>
    </w:tbl>
    <w:p/>
    <w:p>
      <w:pPr>
        <w:pStyle w:val="Heading2"/>
      </w:pPr>
      <w:r>
        <w:rPr>
          <w:rFonts w:eastAsia="Noto Sans CJK SC" w:ascii="Noto Sans CJK SC" w:hAnsi="Noto Sans CJK SC"/>
        </w:rPr>
        <w:t>3.2 B 层（TEST / UAT 扩展）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3305"/>
        <w:gridCol w:w="3305"/>
        <w:gridCol w:w="3305"/>
      </w:tblGrid>
      <w:tr>
        <w:tc>
          <w:tcPr>
            <w:tcW w:type="dxa" w:w="113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国家</w:t>
            </w:r>
          </w:p>
        </w:tc>
        <w:tc>
          <w:tcPr>
            <w:tcW w:type="dxa" w:w="3402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建议新增学校</w:t>
            </w:r>
          </w:p>
        </w:tc>
        <w:tc>
          <w:tcPr>
            <w:tcW w:type="dxa" w:w="3742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扩展目的</w:t>
            </w:r>
          </w:p>
        </w:tc>
      </w:tr>
      <w:tr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美国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Stanford University</w:t>
            </w:r>
          </w:p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7"/>
              </w:rPr>
              <w:t>Massachusetts Institute of Technology</w:t>
            </w:r>
          </w:p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7"/>
              </w:rPr>
              <w:t>Carnegie Mellon University</w:t>
            </w:r>
          </w:p>
          <w:p>
            <w:pPr>
              <w:spacing w:after="0"/>
            </w:pPr>
            <w:r>
              <w:rPr>
                <w:rFonts w:eastAsia="Noto Sans CJK SC" w:ascii="Noto Sans CJK SC" w:hAnsi="Noto Sans CJK SC"/>
                <w:sz w:val="17"/>
              </w:rPr>
              <w:t>University of California, Berkeley</w:t>
            </w:r>
          </w:p>
        </w:tc>
        <w:tc>
          <w:tcPr>
            <w:tcW w:type="dxa" w:w="374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形成第三个国家层样本，并增加学校别名、成果密度和跨国搜索验证场景</w:t>
            </w:r>
          </w:p>
        </w:tc>
      </w:tr>
      <w:tr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中国（扩展）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浙江大学</w:t>
            </w:r>
          </w:p>
        </w:tc>
        <w:tc>
          <w:tcPr>
            <w:tcW w:type="dxa" w:w="374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用于验证国内学校扩容后目录与统计口径仍稳定</w:t>
            </w:r>
          </w:p>
        </w:tc>
      </w:tr>
      <w:tr>
        <w:tc>
          <w:tcPr>
            <w:tcW w:type="dxa" w:w="113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新加坡（保持）</w:t>
            </w:r>
          </w:p>
        </w:tc>
        <w:tc>
          <w:tcPr>
            <w:tcW w:type="dxa" w:w="340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沿用 A 层学校</w:t>
            </w:r>
          </w:p>
        </w:tc>
        <w:tc>
          <w:tcPr>
            <w:tcW w:type="dxa" w:w="374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不再额外扩校，控制样本规模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FC1D6"/>
          <w:left w:val="single" w:sz="8" w:space="0" w:color="AFC1D6"/>
          <w:bottom w:val="single" w:sz="8" w:space="0" w:color="AFC1D6"/>
          <w:right w:val="single" w:sz="8" w:space="0" w:color="AFC1D6"/>
          <w:insideH w:val="single" w:sz="8" w:space="0" w:color="AFC1D6"/>
          <w:insideV w:val="single" w:sz="8" w:space="0" w:color="AFC1D6"/>
        </w:tblBorders>
      </w:tblPr>
      <w:tblGrid>
        <w:gridCol w:w="9916"/>
      </w:tblGrid>
      <w:tr>
        <w:tc>
          <w:tcPr>
            <w:tcW w:type="dxa" w:w="9916"/>
            <w:shd w:fill="F4F7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eastAsia="Noto Sans CJK SC" w:ascii="Noto Sans CJK SC" w:hAnsi="Noto Sans CJK SC"/>
                <w:b/>
                <w:sz w:val="20"/>
              </w:rPr>
              <w:t>V0 建议的规模控制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A 层建议控制在 6 所学校以内，用于首轮底座联调与权限验证。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B 层扩展后建议总学校数控制在 10–11 所，适合 TEST/UAT 阶段人工走查。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在未完成学校归一化、版本切换与权限专项测试前，不建议继续大幅扩校。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4. 学科与人才范围冻结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4958"/>
        <w:gridCol w:w="4958"/>
      </w:tblGrid>
      <w:tr>
        <w:tc>
          <w:tcPr>
            <w:tcW w:type="dxa" w:w="147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维度</w:t>
            </w:r>
          </w:p>
        </w:tc>
        <w:tc>
          <w:tcPr>
            <w:tcW w:type="dxa" w:w="6746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V0 冻结结论</w:t>
            </w:r>
          </w:p>
        </w:tc>
      </w:tr>
      <w:tr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学科主范围</w:t>
            </w:r>
          </w:p>
        </w:tc>
        <w:tc>
          <w:tcPr>
            <w:tcW w:type="dxa" w:w="674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人工智能、计算机科学、机器学习、数据科学、电子信息、自动化等强相关方向</w:t>
            </w:r>
          </w:p>
        </w:tc>
      </w:tr>
      <w:tr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人才主范围</w:t>
            </w:r>
          </w:p>
        </w:tc>
        <w:tc>
          <w:tcPr>
            <w:tcW w:type="dxa" w:w="674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与白名单学校存在明确关联的教师科研人员、在读学生、已毕业学生、待确认对象</w:t>
            </w:r>
          </w:p>
        </w:tc>
      </w:tr>
      <w:tr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优先画像</w:t>
            </w:r>
          </w:p>
        </w:tc>
        <w:tc>
          <w:tcPr>
            <w:tcW w:type="dxa" w:w="674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优先保证 role_profile、school 归属、研究方向标签、代表成果摘要可构建</w:t>
            </w:r>
          </w:p>
        </w:tc>
      </w:tr>
      <w:tr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暂不追求</w:t>
            </w:r>
          </w:p>
        </w:tc>
        <w:tc>
          <w:tcPr>
            <w:tcW w:type="dxa" w:w="674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首轮不追求学科 taxonomy 极致精细，不追求全学校全学科全人群覆盖</w:t>
            </w:r>
          </w:p>
        </w:tc>
      </w:tr>
      <w:tr>
        <w:tc>
          <w:tcPr>
            <w:tcW w:type="dxa" w:w="147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后续预留</w:t>
            </w:r>
          </w:p>
        </w:tc>
        <w:tc>
          <w:tcPr>
            <w:tcW w:type="dxa" w:w="674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博士专项池、工业界人才、开源生态人才、竞赛人才后续纳入，不进入本批次</w:t>
            </w:r>
          </w:p>
        </w:tc>
      </w:tr>
    </w:tbl>
    <w:p/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首批样本不是“越多越好”，而是“能覆盖规则验证所需的最小多样性”更重要。因此首轮需优先观察：不同国家学校能否正确归类、不同角色能否稳定识别、同校别名能否被归一、学校简介缺失时页面是否能优雅降级。</w:t>
      </w:r>
    </w:p>
    <w:p>
      <w:pPr>
        <w:pStyle w:val="Heading1"/>
      </w:pPr>
      <w:r>
        <w:rPr>
          <w:rFonts w:eastAsia="Noto Sans CJK SC" w:ascii="Noto Sans CJK SC" w:hAnsi="Noto Sans CJK SC"/>
        </w:rPr>
        <w:t>5. 数据接入与构建策略冻结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4958"/>
        <w:gridCol w:w="4958"/>
      </w:tblGrid>
      <w:tr>
        <w:tc>
          <w:tcPr>
            <w:tcW w:type="dxa" w:w="964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规则ID</w:t>
            </w:r>
          </w:p>
        </w:tc>
        <w:tc>
          <w:tcPr>
            <w:tcW w:type="dxa" w:w="7370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8"/>
              </w:rPr>
              <w:t>冻结规则</w:t>
            </w:r>
          </w:p>
        </w:tc>
      </w:tr>
      <w:tr>
        <w:tc>
          <w:tcPr>
            <w:tcW w:type="dxa" w:w="9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S-01</w:t>
            </w:r>
          </w:p>
        </w:tc>
        <w:tc>
          <w:tcPr>
            <w:tcW w:type="dxa" w:w="73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首轮接入以学校白名单为主线；先确定学校集合，再做人才对象构建，不先做全球泛抓。</w:t>
            </w:r>
          </w:p>
        </w:tc>
      </w:tr>
      <w:tr>
        <w:tc>
          <w:tcPr>
            <w:tcW w:type="dxa" w:w="9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S-02</w:t>
            </w:r>
          </w:p>
        </w:tc>
        <w:tc>
          <w:tcPr>
            <w:tcW w:type="dxa" w:w="73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同步阶段只拉取与留存来源数据；构建阶段再生成 school/talent/role/stat/search 等前台对象。</w:t>
            </w:r>
          </w:p>
        </w:tc>
      </w:tr>
      <w:tr>
        <w:tc>
          <w:tcPr>
            <w:tcW w:type="dxa" w:w="9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S-03</w:t>
            </w:r>
          </w:p>
        </w:tc>
        <w:tc>
          <w:tcPr>
            <w:tcW w:type="dxa" w:w="73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学校别名、国家归类、角色识别等归一化规则放在构建阶段执行，并产生可追踪日志。</w:t>
            </w:r>
          </w:p>
        </w:tc>
      </w:tr>
      <w:tr>
        <w:tc>
          <w:tcPr>
            <w:tcW w:type="dxa" w:w="9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S-04</w:t>
            </w:r>
          </w:p>
        </w:tc>
        <w:tc>
          <w:tcPr>
            <w:tcW w:type="dxa" w:w="73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代表成果与研究方向标签首轮允许是“可用但不极致完整”的 V0 结果，不得阻断主链路上线。</w:t>
            </w:r>
          </w:p>
        </w:tc>
      </w:tr>
      <w:tr>
        <w:tc>
          <w:tcPr>
            <w:tcW w:type="dxa" w:w="96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8"/>
              </w:rPr>
              <w:t>S-05</w:t>
            </w:r>
          </w:p>
        </w:tc>
        <w:tc>
          <w:tcPr>
            <w:tcW w:type="dxa" w:w="73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8"/>
              </w:rPr>
              <w:t>任一新国家或大批学校扩容前，必须先通过现有样本的权限、统计、版本切换与页面状态回归。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6. 批次与环境建议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2479"/>
        <w:gridCol w:w="2479"/>
        <w:gridCol w:w="2479"/>
        <w:gridCol w:w="2479"/>
      </w:tblGrid>
      <w:tr>
        <w:tc>
          <w:tcPr>
            <w:tcW w:type="dxa" w:w="90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批次</w:t>
            </w:r>
          </w:p>
        </w:tc>
        <w:tc>
          <w:tcPr>
            <w:tcW w:type="dxa" w:w="272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建议范围</w:t>
            </w:r>
          </w:p>
        </w:tc>
        <w:tc>
          <w:tcPr>
            <w:tcW w:type="dxa" w:w="2268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用途</w:t>
            </w:r>
          </w:p>
        </w:tc>
        <w:tc>
          <w:tcPr>
            <w:tcW w:type="dxa" w:w="2438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通过标准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B0</w:t>
            </w:r>
          </w:p>
        </w:tc>
        <w:tc>
          <w:tcPr>
            <w:tcW w:type="dxa" w:w="272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A 层 6 校 + 最小角色样本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打通 migration / sync / build / active version / smoke API</w:t>
            </w:r>
          </w:p>
        </w:tc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能成功构建 school/talent/role/stat/search 对象，首页和学校页可读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B1</w:t>
            </w:r>
          </w:p>
        </w:tc>
        <w:tc>
          <w:tcPr>
            <w:tcW w:type="dxa" w:w="272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A 层完整补齐 + 别名/缺失样本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验证权限、统计、空态、别名归并、待确认角色</w:t>
            </w:r>
          </w:p>
        </w:tc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高风险规则专项通过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B2</w:t>
            </w:r>
          </w:p>
        </w:tc>
        <w:tc>
          <w:tcPr>
            <w:tcW w:type="dxa" w:w="272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B 层扩展到 10–11 校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用于 TEST/UAT、目录浏览、搜索和回归</w:t>
            </w:r>
          </w:p>
        </w:tc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业务试用链路可跑通，UAT 有足够样本</w:t>
            </w:r>
          </w:p>
        </w:tc>
      </w:tr>
      <w:tr>
        <w:tc>
          <w:tcPr>
            <w:tcW w:type="dxa" w:w="90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BF</w:t>
            </w:r>
          </w:p>
        </w:tc>
        <w:tc>
          <w:tcPr>
            <w:tcW w:type="dxa" w:w="272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故意失败批次</w:t>
            </w:r>
          </w:p>
        </w:tc>
        <w:tc>
          <w:tcPr>
            <w:tcW w:type="dxa" w:w="22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验证失败不切换版本、日志与回滚逻辑</w:t>
            </w:r>
          </w:p>
        </w:tc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线上可见版本不受影响</w:t>
            </w:r>
          </w:p>
        </w:tc>
      </w:tr>
    </w:tbl>
    <w:p/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建议做法是：开发联调阶段先以 A 层数据跑 B0/B1；TEST/UAT 前再导入 B 层学校，形成 B2。这样既能保护节奏，又能给业务试用保留足够样本。</w:t>
      </w:r>
    </w:p>
    <w:p>
      <w:pPr>
        <w:pStyle w:val="Heading1"/>
      </w:pPr>
      <w:r>
        <w:rPr>
          <w:rFonts w:eastAsia="Noto Sans CJK SC" w:ascii="Noto Sans CJK SC" w:hAnsi="Noto Sans CJK SC"/>
        </w:rPr>
        <w:t>7. 最小样本要求与验收口径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3305"/>
        <w:gridCol w:w="3305"/>
        <w:gridCol w:w="3305"/>
      </w:tblGrid>
      <w:tr>
        <w:tc>
          <w:tcPr>
            <w:tcW w:type="dxa" w:w="141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检查项</w:t>
            </w:r>
          </w:p>
        </w:tc>
        <w:tc>
          <w:tcPr>
            <w:tcW w:type="dxa" w:w="323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最小要求</w:t>
            </w:r>
          </w:p>
        </w:tc>
        <w:tc>
          <w:tcPr>
            <w:tcW w:type="dxa" w:w="3175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目的</w:t>
            </w:r>
          </w:p>
        </w:tc>
      </w:tr>
      <w:tr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国家样本</w:t>
            </w:r>
          </w:p>
        </w:tc>
        <w:tc>
          <w:tcPr>
            <w:tcW w:type="dxa" w:w="32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至少 2 个国家（Smoke），扩展后 3 个国家（UAT）</w:t>
            </w:r>
          </w:p>
        </w:tc>
        <w:tc>
          <w:tcPr>
            <w:tcW w:type="dxa" w:w="317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验证国家目录与权限过滤</w:t>
            </w:r>
          </w:p>
        </w:tc>
      </w:tr>
      <w:tr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学校样本</w:t>
            </w:r>
          </w:p>
        </w:tc>
        <w:tc>
          <w:tcPr>
            <w:tcW w:type="dxa" w:w="32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至少 6 所学校（Smoke），扩展后 10–11 所学校（UAT）</w:t>
            </w:r>
          </w:p>
        </w:tc>
        <w:tc>
          <w:tcPr>
            <w:tcW w:type="dxa" w:w="317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验证目录、统计、分页与回归</w:t>
            </w:r>
          </w:p>
        </w:tc>
      </w:tr>
      <w:tr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角色样本</w:t>
            </w:r>
          </w:p>
        </w:tc>
        <w:tc>
          <w:tcPr>
            <w:tcW w:type="dxa" w:w="32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教授 / 在读学生 / 已毕业学生 / 待确认四类都必须出现</w:t>
            </w:r>
          </w:p>
        </w:tc>
        <w:tc>
          <w:tcPr>
            <w:tcW w:type="dxa" w:w="317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验证 role_profile、统计口径与展示标签</w:t>
            </w:r>
          </w:p>
        </w:tc>
      </w:tr>
      <w:tr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异常样本</w:t>
            </w:r>
          </w:p>
        </w:tc>
        <w:tc>
          <w:tcPr>
            <w:tcW w:type="dxa" w:w="32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至少 1 条学校介绍缺失、1 条学校别名归并、1 个失败批次</w:t>
            </w:r>
          </w:p>
        </w:tc>
        <w:tc>
          <w:tcPr>
            <w:tcW w:type="dxa" w:w="317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验证降级与高风险规则</w:t>
            </w:r>
          </w:p>
        </w:tc>
      </w:tr>
      <w:tr>
        <w:tc>
          <w:tcPr>
            <w:tcW w:type="dxa" w:w="141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权限样本</w:t>
            </w:r>
          </w:p>
        </w:tc>
        <w:tc>
          <w:tcPr>
            <w:tcW w:type="dxa" w:w="323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至少 3 类用户：管理员、普通授权用户、无权限用户</w:t>
            </w:r>
          </w:p>
        </w:tc>
        <w:tc>
          <w:tcPr>
            <w:tcW w:type="dxa" w:w="317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验证学校范围权限全链路一致生效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FC1D6"/>
          <w:left w:val="single" w:sz="8" w:space="0" w:color="AFC1D6"/>
          <w:bottom w:val="single" w:sz="8" w:space="0" w:color="AFC1D6"/>
          <w:right w:val="single" w:sz="8" w:space="0" w:color="AFC1D6"/>
          <w:insideH w:val="single" w:sz="8" w:space="0" w:color="AFC1D6"/>
          <w:insideV w:val="single" w:sz="8" w:space="0" w:color="AFC1D6"/>
        </w:tblBorders>
      </w:tblPr>
      <w:tblGrid>
        <w:gridCol w:w="9916"/>
      </w:tblGrid>
      <w:tr>
        <w:tc>
          <w:tcPr>
            <w:tcW w:type="dxa" w:w="9916"/>
            <w:shd w:fill="F4F7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eastAsia="Noto Sans CJK SC" w:ascii="Noto Sans CJK SC" w:hAnsi="Noto Sans CJK SC"/>
                <w:b/>
                <w:sz w:val="20"/>
              </w:rPr>
              <w:t>首批样本通过，不等于全量数据通过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Seed Scope V0 的通过标准是：底座、规则、页面和权限已在代表性样本上闭环成立。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只有当 V0 样本稳定后，才建议把学校范围继续扩大。</w:t>
            </w:r>
          </w:p>
          <w:p>
            <w:pPr>
              <w:spacing w:after="40"/>
              <w:ind w:left="295" w:hanging="181"/>
            </w:pPr>
            <w:r>
              <w:rPr>
                <w:rFonts w:eastAsia="Noto Sans CJK SC" w:ascii="Noto Sans CJK SC" w:hAnsi="Noto Sans CJK SC"/>
                <w:sz w:val="18"/>
              </w:rPr>
              <w:t>• 新增学校或新增国家应按“小批扩容 + 回归验证”的节奏推进。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8. 扩容原则与变更管理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9C7D7"/>
          <w:left w:val="single" w:sz="8" w:space="0" w:color="B9C7D7"/>
          <w:bottom w:val="single" w:sz="8" w:space="0" w:color="B9C7D7"/>
          <w:right w:val="single" w:sz="8" w:space="0" w:color="B9C7D7"/>
          <w:insideH w:val="single" w:sz="8" w:space="0" w:color="B9C7D7"/>
          <w:insideV w:val="single" w:sz="8" w:space="0" w:color="B9C7D7"/>
        </w:tblBorders>
      </w:tblPr>
      <w:tblGrid>
        <w:gridCol w:w="3305"/>
        <w:gridCol w:w="3305"/>
        <w:gridCol w:w="3305"/>
      </w:tblGrid>
      <w:tr>
        <w:tc>
          <w:tcPr>
            <w:tcW w:type="dxa" w:w="1247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变更类型</w:t>
            </w:r>
          </w:p>
        </w:tc>
        <w:tc>
          <w:tcPr>
            <w:tcW w:type="dxa" w:w="2551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触发条件</w:t>
            </w:r>
          </w:p>
        </w:tc>
        <w:tc>
          <w:tcPr>
            <w:tcW w:type="dxa" w:w="4025"/>
            <w:shd w:fill="DDE7F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处理要求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新增学校</w:t>
            </w:r>
          </w:p>
        </w:tc>
        <w:tc>
          <w:tcPr>
            <w:tcW w:type="dxa" w:w="255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当前样本已稳定通过回归，业务明确需要扩校</w:t>
            </w:r>
          </w:p>
        </w:tc>
        <w:tc>
          <w:tcPr>
            <w:tcW w:type="dxa" w:w="402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先补充到本文件，再进入新批次联调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新增国家</w:t>
            </w:r>
          </w:p>
        </w:tc>
        <w:tc>
          <w:tcPr>
            <w:tcW w:type="dxa" w:w="255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目录、权限、统计逻辑已在现有国家样本上稳定</w:t>
            </w:r>
          </w:p>
        </w:tc>
        <w:tc>
          <w:tcPr>
            <w:tcW w:type="dxa" w:w="402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先评估国家分类、命名与权限影响，再扩容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扩大到非 AI/CS 学科</w:t>
            </w:r>
          </w:p>
        </w:tc>
        <w:tc>
          <w:tcPr>
            <w:tcW w:type="dxa" w:w="255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当前学科范围已验证完成，且业务场景明确需要</w:t>
            </w:r>
          </w:p>
        </w:tc>
        <w:tc>
          <w:tcPr>
            <w:tcW w:type="dxa" w:w="402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需同时补规则与页面字段影响</w:t>
            </w:r>
          </w:p>
        </w:tc>
      </w:tr>
      <w:tr>
        <w:tc>
          <w:tcPr>
            <w:tcW w:type="dxa" w:w="124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直接做大范围全量抓取</w:t>
            </w:r>
          </w:p>
        </w:tc>
        <w:tc>
          <w:tcPr>
            <w:tcW w:type="dxa" w:w="2551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无</w:t>
            </w:r>
          </w:p>
        </w:tc>
        <w:tc>
          <w:tcPr>
            <w:tcW w:type="dxa" w:w="402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eastAsia="Noto Sans CJK SC" w:ascii="Noto Sans CJK SC" w:hAnsi="Noto Sans CJK SC"/>
                <w:sz w:val="17"/>
              </w:rPr>
              <w:t>V0 阶段不建议，除非项目 Owner 单独批准</w:t>
            </w:r>
          </w:p>
        </w:tc>
      </w:tr>
    </w:tbl>
    <w:p/>
    <w:p>
      <w:pPr>
        <w:pStyle w:val="Heading1"/>
      </w:pPr>
      <w:r>
        <w:rPr>
          <w:rFonts w:eastAsia="Noto Sans CJK SC" w:ascii="Noto Sans CJK SC" w:hAnsi="Noto Sans CJK SC"/>
        </w:rPr>
        <w:t>9. 结论与执行要求</w:t>
      </w:r>
    </w:p>
    <w:p>
      <w:pPr>
        <w:spacing w:line="319" w:lineRule="auto" w:after="80"/>
      </w:pPr>
      <w:r>
        <w:rPr>
          <w:rFonts w:eastAsia="Noto Sans CJK SC" w:ascii="Noto Sans CJK SC" w:hAnsi="Noto Sans CJK SC"/>
          <w:sz w:val="20"/>
        </w:rPr>
        <w:t>自本文件生效起，学术人才子系统 MVP 的首轮数据接入与联调以本文件定义的 A/B 两层学校白名单为边界执行。Claude Code 或人工开发不得绕过本文件直接扩大样本范围。若需扩容，必须先补充本文件并完成一次规则回归。这样做的目的不是保守，而是确保首轮开发在“可跑通、可验证、可控扩展”的节奏下推进。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62" w:bottom="964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Noto Sans CJK SC" w:ascii="Noto Sans CJK SC" w:hAnsi="Noto Sans CJK SC"/>
        <w:color w:val="666666"/>
        <w:sz w:val="16"/>
      </w:rPr>
      <w:t>内部项目文件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Noto Sans CJK SC" w:ascii="Noto Sans CJK SC" w:hAnsi="Noto Sans CJK SC"/>
        <w:color w:val="666666"/>
        <w:sz w:val="16"/>
      </w:rPr>
      <w:t>智能人才库项目｜首批数据范围清单 Seed Scope V0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2A2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2A2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2A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pPr>
      <w:spacing w:after="40"/>
      <w:jc w:val="center"/>
    </w:pPr>
    <w:rPr>
      <w:rFonts w:ascii="Noto Sans CJK SC" w:hAnsi="Noto Sans CJK SC" w:eastAsia="Noto Sans CJK SC"/>
      <w:b/>
      <w:color w:val="2A2A2A"/>
      <w:sz w:val="40"/>
    </w:rPr>
  </w:style>
  <w:style w:type="paragraph" w:customStyle="1" w:styleId="SubtitleCustom">
    <w:name w:val="Subtitle Custom"/>
    <w:pPr>
      <w:spacing w:after="200"/>
      <w:jc w:val="center"/>
    </w:pPr>
    <w:rPr>
      <w:rFonts w:ascii="Noto Sans CJK SC" w:hAnsi="Noto Sans CJK SC" w:eastAsia="Noto Sans CJK SC"/>
      <w:color w:val="666666"/>
      <w:sz w:val="18"/>
    </w:rPr>
  </w:style>
  <w:style w:type="paragraph" w:customStyle="1" w:styleId="SmallGrey">
    <w:name w:val="Small Grey"/>
    <w:pPr>
      <w:jc w:val="center"/>
    </w:pPr>
    <w:rPr>
      <w:rFonts w:ascii="Noto Sans CJK SC" w:hAnsi="Noto Sans CJK SC" w:eastAsia="Noto Sans CJK SC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