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eastAsia="Microsoft YaHei" w:ascii="Calibri" w:hAnsi="Calibri"/>
        </w:rPr>
        <w:t>智能人才库项目</w:t>
        <w:br/>
        <w:t>学术人才子系统 MVP 方案设计说明</w:t>
      </w:r>
    </w:p>
    <w:p>
      <w:pPr>
        <w:pStyle w:val="Subtitle"/>
        <w:spacing w:line="288" w:lineRule="auto" w:before="0" w:after="360"/>
        <w:jc w:val="left"/>
      </w:pPr>
      <w:r>
        <w:rPr>
          <w:rFonts w:eastAsia="Microsoft YaHei" w:ascii="Calibri" w:hAnsi="Calibri"/>
        </w:rPr>
        <w:t>适用范围：第一阶段学术人才子系统 MVP；用于定义模块组织、功能边界、页面关系与上线策略</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vAlign w:val="center"/>
            <w:tcMar>
              <w:top w:w="90" w:type="dxa"/>
              <w:start w:w="120" w:type="dxa"/>
              <w:bottom w:w="90" w:type="dxa"/>
              <w:end w:w="120" w:type="dxa"/>
            </w:tcMar>
            <w:shd w:fill="D9E2F3"/>
            <w:shd w:fill="D9E2F3"/>
          </w:tcPr>
          <w:p>
            <w:pPr>
              <w:spacing w:line="276" w:lineRule="auto" w:before="0" w:after="40"/>
              <w:jc w:val="center"/>
            </w:pPr>
            <w:r>
              <w:rPr>
                <w:b/>
                <w:color w:val="1F4E79"/>
                <w:sz w:val="20"/>
                <w:rFonts w:eastAsia="Microsoft YaHei" w:ascii="Calibri" w:hAnsi="Calibri"/>
              </w:rPr>
              <w:t>文档编号</w:t>
            </w:r>
          </w:p>
        </w:tc>
        <w:tc>
          <w:tcPr>
            <w:tcW w:type="dxa" w:w="7056"/>
            <w:vAlign w:val="center"/>
            <w:tcMar>
              <w:top w:w="90" w:type="dxa"/>
              <w:start w:w="120" w:type="dxa"/>
              <w:bottom w:w="90" w:type="dxa"/>
              <w:end w:w="120" w:type="dxa"/>
            </w:tcMar>
            <w:shd w:fill="D9E2F3"/>
            <w:shd w:fill="FFFFFF"/>
          </w:tcPr>
          <w:p>
            <w:pPr>
              <w:spacing w:line="276" w:lineRule="auto" w:before="0" w:after="40"/>
              <w:jc w:val="left"/>
            </w:pPr>
            <w:r>
              <w:rPr>
                <w:b/>
                <w:color w:val="282828"/>
                <w:sz w:val="20"/>
                <w:rFonts w:eastAsia="Microsoft YaHei" w:ascii="Calibri" w:hAnsi="Calibri"/>
              </w:rPr>
              <w:t>08</w:t>
            </w:r>
          </w:p>
        </w:tc>
      </w:tr>
      <w:tr>
        <w:tc>
          <w:tcPr>
            <w:tcW w:type="dxa" w:w="2304"/>
            <w:vAlign w:val="center"/>
            <w:tcMar>
              <w:top w:w="90" w:type="dxa"/>
              <w:start w:w="120" w:type="dxa"/>
              <w:bottom w:w="90" w:type="dxa"/>
              <w:end w:w="120" w:type="dxa"/>
            </w:tcMar>
            <w:shd w:fill="F7FAFD"/>
            <w:shd w:fill="D9E2F3"/>
          </w:tcPr>
          <w:p>
            <w:pPr>
              <w:spacing w:line="276" w:lineRule="auto" w:before="0" w:after="40"/>
              <w:jc w:val="center"/>
            </w:pPr>
            <w:r>
              <w:rPr>
                <w:b/>
                <w:color w:val="1F4E79"/>
                <w:sz w:val="20"/>
                <w:rFonts w:eastAsia="Microsoft YaHei" w:ascii="Calibri" w:hAnsi="Calibri"/>
              </w:rPr>
              <w:t>版本</w:t>
            </w:r>
          </w:p>
        </w:tc>
        <w:tc>
          <w:tcPr>
            <w:tcW w:type="dxa" w:w="7056"/>
            <w:vAlign w:val="center"/>
            <w:tcMar>
              <w:top w:w="90" w:type="dxa"/>
              <w:start w:w="120" w:type="dxa"/>
              <w:bottom w:w="90" w:type="dxa"/>
              <w:end w:w="120" w:type="dxa"/>
            </w:tcMar>
            <w:shd w:fill="F7FAFD"/>
            <w:shd w:fill="F8FBFF"/>
          </w:tcPr>
          <w:p>
            <w:pPr>
              <w:spacing w:line="276" w:lineRule="auto" w:before="0" w:after="40"/>
              <w:jc w:val="left"/>
            </w:pPr>
            <w:r>
              <w:rPr>
                <w:color w:val="282828"/>
                <w:sz w:val="20"/>
                <w:rFonts w:eastAsia="Microsoft YaHei" w:ascii="Calibri" w:hAnsi="Calibri"/>
              </w:rPr>
              <w:t>V1.0</w:t>
            </w:r>
          </w:p>
        </w:tc>
      </w:tr>
      <w:tr>
        <w:tc>
          <w:tcPr>
            <w:tcW w:type="dxa" w:w="2304"/>
            <w:vAlign w:val="center"/>
            <w:tcMar>
              <w:top w:w="90" w:type="dxa"/>
              <w:start w:w="120" w:type="dxa"/>
              <w:bottom w:w="90" w:type="dxa"/>
              <w:end w:w="120" w:type="dxa"/>
            </w:tcMar>
            <w:shd w:fill="D9E2F3"/>
          </w:tcPr>
          <w:p>
            <w:pPr>
              <w:spacing w:line="276" w:lineRule="auto" w:before="0" w:after="40"/>
              <w:jc w:val="center"/>
            </w:pPr>
            <w:r>
              <w:rPr>
                <w:b/>
                <w:color w:val="1F4E79"/>
                <w:sz w:val="20"/>
                <w:rFonts w:eastAsia="Microsoft YaHei" w:ascii="Calibri" w:hAnsi="Calibri"/>
              </w:rPr>
              <w:t>阶段</w:t>
            </w:r>
          </w:p>
        </w:tc>
        <w:tc>
          <w:tcPr>
            <w:tcW w:type="dxa" w:w="7056"/>
            <w:vAlign w:val="center"/>
            <w:tcMar>
              <w:top w:w="90" w:type="dxa"/>
              <w:start w:w="120" w:type="dxa"/>
              <w:bottom w:w="90" w:type="dxa"/>
              <w:end w:w="120" w:type="dxa"/>
            </w:tcMar>
            <w:shd w:fill="FFFFFF"/>
          </w:tcPr>
          <w:p>
            <w:pPr>
              <w:spacing w:line="276" w:lineRule="auto" w:before="0" w:after="40"/>
              <w:jc w:val="left"/>
            </w:pPr>
            <w:r>
              <w:rPr>
                <w:color w:val="282828"/>
                <w:sz w:val="20"/>
                <w:rFonts w:eastAsia="Microsoft YaHei" w:ascii="Calibri" w:hAnsi="Calibri"/>
              </w:rPr>
              <w:t>方案设计</w:t>
            </w:r>
          </w:p>
        </w:tc>
      </w:tr>
      <w:tr>
        <w:tc>
          <w:tcPr>
            <w:tcW w:type="dxa" w:w="2304"/>
            <w:vAlign w:val="center"/>
            <w:tcMar>
              <w:top w:w="90" w:type="dxa"/>
              <w:start w:w="120" w:type="dxa"/>
              <w:bottom w:w="90" w:type="dxa"/>
              <w:end w:w="120" w:type="dxa"/>
            </w:tcMar>
            <w:shd w:fill="F7FAFD"/>
            <w:shd w:fill="D9E2F3"/>
          </w:tcPr>
          <w:p>
            <w:pPr>
              <w:spacing w:line="276" w:lineRule="auto" w:before="0" w:after="40"/>
              <w:jc w:val="center"/>
            </w:pPr>
            <w:r>
              <w:rPr>
                <w:b/>
                <w:color w:val="1F4E79"/>
                <w:sz w:val="20"/>
                <w:rFonts w:eastAsia="Microsoft YaHei" w:ascii="Calibri" w:hAnsi="Calibri"/>
              </w:rPr>
              <w:t>编制日期</w:t>
            </w:r>
          </w:p>
        </w:tc>
        <w:tc>
          <w:tcPr>
            <w:tcW w:type="dxa" w:w="7056"/>
            <w:vAlign w:val="center"/>
            <w:tcMar>
              <w:top w:w="90" w:type="dxa"/>
              <w:start w:w="120" w:type="dxa"/>
              <w:bottom w:w="90" w:type="dxa"/>
              <w:end w:w="120" w:type="dxa"/>
            </w:tcMar>
            <w:shd w:fill="F7FAFD"/>
            <w:shd w:fill="F8FBFF"/>
          </w:tcPr>
          <w:p>
            <w:pPr>
              <w:spacing w:line="276" w:lineRule="auto" w:before="0" w:after="40"/>
              <w:jc w:val="left"/>
            </w:pPr>
            <w:r>
              <w:rPr>
                <w:color w:val="282828"/>
                <w:sz w:val="20"/>
                <w:rFonts w:eastAsia="Microsoft YaHei" w:ascii="Calibri" w:hAnsi="Calibri"/>
              </w:rPr>
              <w:t>2026-03-16</w:t>
            </w:r>
          </w:p>
        </w:tc>
      </w:tr>
      <w:tr>
        <w:tc>
          <w:tcPr>
            <w:tcW w:type="dxa" w:w="2304"/>
            <w:vAlign w:val="center"/>
            <w:tcMar>
              <w:top w:w="90" w:type="dxa"/>
              <w:start w:w="120" w:type="dxa"/>
              <w:bottom w:w="90" w:type="dxa"/>
              <w:end w:w="120" w:type="dxa"/>
            </w:tcMar>
            <w:shd w:fill="D9E2F3"/>
          </w:tcPr>
          <w:p>
            <w:pPr>
              <w:spacing w:line="276" w:lineRule="auto" w:before="0" w:after="40"/>
              <w:jc w:val="center"/>
            </w:pPr>
            <w:r>
              <w:rPr>
                <w:b/>
                <w:color w:val="1F4E79"/>
                <w:sz w:val="20"/>
                <w:rFonts w:eastAsia="Microsoft YaHei" w:ascii="Calibri" w:hAnsi="Calibri"/>
              </w:rPr>
              <w:t>适用对象</w:t>
            </w:r>
          </w:p>
        </w:tc>
        <w:tc>
          <w:tcPr>
            <w:tcW w:type="dxa" w:w="7056"/>
            <w:vAlign w:val="center"/>
            <w:tcMar>
              <w:top w:w="90" w:type="dxa"/>
              <w:start w:w="120" w:type="dxa"/>
              <w:bottom w:w="90" w:type="dxa"/>
              <w:end w:w="120" w:type="dxa"/>
            </w:tcMar>
            <w:shd w:fill="FFFFFF"/>
          </w:tcPr>
          <w:p>
            <w:pPr>
              <w:spacing w:line="276" w:lineRule="auto" w:before="0" w:after="40"/>
              <w:jc w:val="left"/>
            </w:pPr>
            <w:r>
              <w:rPr>
                <w:color w:val="282828"/>
                <w:sz w:val="20"/>
                <w:rFonts w:eastAsia="Microsoft YaHei" w:ascii="Calibri" w:hAnsi="Calibri"/>
              </w:rPr>
              <w:t>产品 / 设计 / 架构 / 开发 / 测试 / 业务试用方</w:t>
            </w:r>
          </w:p>
        </w:tc>
      </w:tr>
    </w:tbl>
    <w:p/>
    <w:tbl>
      <w:tblPr>
        <w:tblW w:type="auto" w:w="0"/>
        <w:tblLayout w:type="autofit"/>
        <w:tblLook w:firstColumn="1" w:firstRow="1" w:lastColumn="0" w:lastRow="0" w:noHBand="0" w:noVBand="1" w:val="04A0"/>
      </w:tblPr>
      <w:tblGrid>
        <w:gridCol w:w="9504"/>
      </w:tblGrid>
      <w:tr>
        <w:tc>
          <w:tcPr>
            <w:tcW w:type="dxa" w:w="9504"/>
            <w:shd w:fill="EDF3F9"/>
          </w:tcPr>
          <w:p>
            <w:pPr>
              <w:spacing w:line="288" w:lineRule="auto" w:before="40" w:after="40"/>
            </w:pPr>
            <w:r>
              <w:rPr>
                <w:i/>
                <w:color w:val="282828"/>
                <w:sz w:val="21"/>
                <w:rFonts w:eastAsia="Microsoft YaHei" w:ascii="Calibri" w:hAnsi="Calibri"/>
              </w:rPr>
              <w:t>使用说明：本文件属于方案设计阶段交付物，重点回答“准备如何实现”，用于衔接需求分析、开发任务包拆分、技术评审与阶段验收。</w:t>
            </w:r>
          </w:p>
        </w:tc>
      </w:tr>
    </w:tbl>
    <w:p/>
    <w:p>
      <w:pPr>
        <w:pStyle w:val="Heading1"/>
      </w:pPr>
      <w:r>
        <w:rPr>
          <w:rFonts w:eastAsia="Microsoft YaHei" w:ascii="Calibri" w:hAnsi="Calibri"/>
        </w:rPr>
        <w:t>1. 设计目标</w:t>
      </w:r>
    </w:p>
    <w:p>
      <w:pPr>
        <w:spacing w:line="312" w:lineRule="auto" w:before="0" w:after="120"/>
      </w:pPr>
      <w:r>
        <w:rPr>
          <w:rFonts w:eastAsia="Microsoft YaHei" w:ascii="Calibri" w:hAnsi="Calibri"/>
        </w:rPr>
        <w:t>本文件面向第一阶段学术人才子系统 MVP，回答“这一期系统准备怎么搭、哪些模块先上线、哪些能力只做预留”。其核心目标是将需求分析中的业务诉求转化为可落地的产品和系统设计方案。</w:t>
      </w:r>
    </w:p>
    <w:p>
      <w:pPr>
        <w:pStyle w:val="ListBullet"/>
        <w:spacing w:line="300" w:lineRule="auto" w:before="0" w:after="40"/>
        <w:ind w:left="216" w:firstLine="0"/>
      </w:pPr>
      <w:r>
        <w:rPr>
          <w:rFonts w:eastAsia="Microsoft YaHei" w:ascii="Calibri" w:hAnsi="Calibri"/>
          <w:sz w:val="21"/>
        </w:rPr>
        <w:t>形成面向招聘场景的学术人才发现闭环。</w:t>
      </w:r>
    </w:p>
    <w:p>
      <w:pPr>
        <w:pStyle w:val="ListBullet"/>
        <w:spacing w:line="300" w:lineRule="auto" w:before="0" w:after="40"/>
        <w:ind w:left="216" w:firstLine="0"/>
      </w:pPr>
      <w:r>
        <w:rPr>
          <w:rFonts w:eastAsia="Microsoft YaHei" w:ascii="Calibri" w:hAnsi="Calibri"/>
          <w:sz w:val="21"/>
        </w:rPr>
        <w:t>支持从总览、搜索和学校分类三个入口进入人才发现路径。</w:t>
      </w:r>
    </w:p>
    <w:p>
      <w:pPr>
        <w:pStyle w:val="ListBullet"/>
        <w:spacing w:line="300" w:lineRule="auto" w:before="0" w:after="40"/>
        <w:ind w:left="216" w:firstLine="0"/>
      </w:pPr>
      <w:r>
        <w:rPr>
          <w:rFonts w:eastAsia="Microsoft YaHei" w:ascii="Calibri" w:hAnsi="Calibri"/>
          <w:sz w:val="21"/>
        </w:rPr>
        <w:t>保证第一阶段只围绕学校维度做实，学院 / 实验室相关能力保留扩展位。</w:t>
      </w:r>
    </w:p>
    <w:p>
      <w:pPr>
        <w:pStyle w:val="ListBullet"/>
        <w:spacing w:line="300" w:lineRule="auto" w:before="0" w:after="40"/>
        <w:ind w:left="216" w:firstLine="0"/>
      </w:pPr>
      <w:r>
        <w:rPr>
          <w:rFonts w:eastAsia="Microsoft YaHei" w:ascii="Calibri" w:hAnsi="Calibri"/>
          <w:sz w:val="21"/>
        </w:rPr>
        <w:t>统一纳入学校范围权限控制和关键统计口径。</w:t>
      </w:r>
    </w:p>
    <w:p>
      <w:pPr>
        <w:pStyle w:val="Heading1"/>
      </w:pPr>
      <w:r>
        <w:rPr>
          <w:rFonts w:eastAsia="Microsoft YaHei" w:ascii="Calibri" w:hAnsi="Calibri"/>
        </w:rPr>
        <w:t>2. MVP 功能范围</w:t>
      </w:r>
    </w:p>
    <w:tbl>
      <w:tblPr>
        <w:tblStyle w:val="TableGrid"/>
        <w:tblW w:type="auto" w:w="0"/>
        <w:jc w:val="center"/>
        <w:tblLayout w:type="fixed"/>
        <w:tblLook w:firstColumn="1" w:firstRow="1" w:lastColumn="0" w:lastRow="0" w:noHBand="0" w:noVBand="1" w:val="04A0"/>
      </w:tblPr>
      <w:tblGrid>
        <w:gridCol w:w="2160"/>
        <w:gridCol w:w="1440"/>
        <w:gridCol w:w="6624"/>
      </w:tblGrid>
      <w:tr>
        <w:tc>
          <w:tcPr>
            <w:tcW w:type="dxa" w:w="3168"/>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模块</w:t>
            </w:r>
          </w:p>
        </w:tc>
        <w:tc>
          <w:tcPr>
            <w:tcW w:type="dxa" w:w="3168"/>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第一阶段状态</w:t>
            </w:r>
          </w:p>
        </w:tc>
        <w:tc>
          <w:tcPr>
            <w:tcW w:type="dxa" w:w="3168"/>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说明</w:t>
            </w:r>
          </w:p>
        </w:tc>
      </w:tr>
      <w:tr>
        <w:tc>
          <w:tcPr>
            <w:tcW w:type="dxa" w:w="216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首页总览</w:t>
            </w:r>
          </w:p>
        </w:tc>
        <w:tc>
          <w:tcPr>
            <w:tcW w:type="dxa" w:w="144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展示授权范围内的高校数、教授类人才数、学生类人才数，并提供搜索入口</w:t>
            </w:r>
          </w:p>
        </w:tc>
      </w:tr>
      <w:tr>
        <w:tc>
          <w:tcPr>
            <w:tcW w:type="dxa" w:w="2160"/>
            <w:vAlign w:val="center"/>
            <w:tcMar>
              <w:top w:w="90" w:type="dxa"/>
              <w:start w:w="120" w:type="dxa"/>
              <w:bottom w:w="90" w:type="dxa"/>
              <w:end w:w="120" w:type="dxa"/>
            </w:tcMar>
          </w:tcPr>
          <w:p>
            <w:pPr>
              <w:spacing w:line="276" w:lineRule="auto" w:before="0" w:after="40"/>
            </w:pPr>
            <w:r>
              <w:rPr>
                <w:sz w:val="20"/>
                <w:rFonts w:eastAsia="Microsoft YaHei" w:ascii="Calibri" w:hAnsi="Calibri"/>
              </w:rPr>
              <w:t>关键字搜索</w:t>
            </w:r>
          </w:p>
        </w:tc>
        <w:tc>
          <w:tcPr>
            <w:tcW w:type="dxa" w:w="1440"/>
            <w:vAlign w:val="center"/>
            <w:tcMar>
              <w:top w:w="90" w:type="dxa"/>
              <w:start w:w="120" w:type="dxa"/>
              <w:bottom w:w="90" w:type="dxa"/>
              <w:end w:w="120" w:type="dxa"/>
            </w:tcMar>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tcPr>
          <w:p>
            <w:pPr>
              <w:spacing w:line="276" w:lineRule="auto" w:before="0" w:after="40"/>
            </w:pPr>
            <w:r>
              <w:rPr>
                <w:sz w:val="20"/>
                <w:rFonts w:eastAsia="Microsoft YaHei" w:ascii="Calibri" w:hAnsi="Calibri"/>
              </w:rPr>
              <w:t>支持姓名、学校名、技术方向等关键字检索人才列表</w:t>
            </w:r>
          </w:p>
        </w:tc>
      </w:tr>
      <w:tr>
        <w:tc>
          <w:tcPr>
            <w:tcW w:type="dxa" w:w="216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国家 -&gt; 学校分类浏览</w:t>
            </w:r>
          </w:p>
        </w:tc>
        <w:tc>
          <w:tcPr>
            <w:tcW w:type="dxa" w:w="144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用户可先按国家看学校，再进入学校页和人才列表</w:t>
            </w:r>
          </w:p>
        </w:tc>
      </w:tr>
      <w:tr>
        <w:tc>
          <w:tcPr>
            <w:tcW w:type="dxa" w:w="2160"/>
            <w:vAlign w:val="center"/>
            <w:tcMar>
              <w:top w:w="90" w:type="dxa"/>
              <w:start w:w="120" w:type="dxa"/>
              <w:bottom w:w="90" w:type="dxa"/>
              <w:end w:w="120" w:type="dxa"/>
            </w:tcMar>
          </w:tcPr>
          <w:p>
            <w:pPr>
              <w:spacing w:line="276" w:lineRule="auto" w:before="0" w:after="40"/>
            </w:pPr>
            <w:r>
              <w:rPr>
                <w:sz w:val="20"/>
                <w:rFonts w:eastAsia="Microsoft YaHei" w:ascii="Calibri" w:hAnsi="Calibri"/>
              </w:rPr>
              <w:t>学校信息页</w:t>
            </w:r>
          </w:p>
        </w:tc>
        <w:tc>
          <w:tcPr>
            <w:tcW w:type="dxa" w:w="1440"/>
            <w:vAlign w:val="center"/>
            <w:tcMar>
              <w:top w:w="90" w:type="dxa"/>
              <w:start w:w="120" w:type="dxa"/>
              <w:bottom w:w="90" w:type="dxa"/>
              <w:end w:w="120" w:type="dxa"/>
            </w:tcMar>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tcPr>
          <w:p>
            <w:pPr>
              <w:spacing w:line="276" w:lineRule="auto" w:before="0" w:after="40"/>
            </w:pPr>
            <w:r>
              <w:rPr>
                <w:sz w:val="20"/>
                <w:rFonts w:eastAsia="Microsoft YaHei" w:ascii="Calibri" w:hAnsi="Calibri"/>
              </w:rPr>
              <w:t>展示学校介绍、国家/地区、教授人数、学生人数等基础统计</w:t>
            </w:r>
          </w:p>
        </w:tc>
      </w:tr>
      <w:tr>
        <w:tc>
          <w:tcPr>
            <w:tcW w:type="dxa" w:w="216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学校人才列表</w:t>
            </w:r>
          </w:p>
        </w:tc>
        <w:tc>
          <w:tcPr>
            <w:tcW w:type="dxa" w:w="144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以学校为主分类维度展示人才列表与角色信息</w:t>
            </w:r>
          </w:p>
        </w:tc>
      </w:tr>
      <w:tr>
        <w:tc>
          <w:tcPr>
            <w:tcW w:type="dxa" w:w="2160"/>
            <w:vAlign w:val="center"/>
            <w:tcMar>
              <w:top w:w="90" w:type="dxa"/>
              <w:start w:w="120" w:type="dxa"/>
              <w:bottom w:w="90" w:type="dxa"/>
              <w:end w:w="120" w:type="dxa"/>
            </w:tcMar>
          </w:tcPr>
          <w:p>
            <w:pPr>
              <w:spacing w:line="276" w:lineRule="auto" w:before="0" w:after="40"/>
            </w:pPr>
            <w:r>
              <w:rPr>
                <w:sz w:val="20"/>
                <w:rFonts w:eastAsia="Microsoft YaHei" w:ascii="Calibri" w:hAnsi="Calibri"/>
              </w:rPr>
              <w:t>人才详情页</w:t>
            </w:r>
          </w:p>
        </w:tc>
        <w:tc>
          <w:tcPr>
            <w:tcW w:type="dxa" w:w="1440"/>
            <w:vAlign w:val="center"/>
            <w:tcMar>
              <w:top w:w="90" w:type="dxa"/>
              <w:start w:w="120" w:type="dxa"/>
              <w:bottom w:w="90" w:type="dxa"/>
              <w:end w:w="120" w:type="dxa"/>
            </w:tcMar>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tcPr>
          <w:p>
            <w:pPr>
              <w:spacing w:line="276" w:lineRule="auto" w:before="0" w:after="40"/>
            </w:pPr>
            <w:r>
              <w:rPr>
                <w:sz w:val="20"/>
                <w:rFonts w:eastAsia="Microsoft YaHei" w:ascii="Calibri" w:hAnsi="Calibri"/>
              </w:rPr>
              <w:t>展示结构化画像、代表成果、方向标签和基础关系信息</w:t>
            </w:r>
          </w:p>
        </w:tc>
      </w:tr>
      <w:tr>
        <w:tc>
          <w:tcPr>
            <w:tcW w:type="dxa" w:w="216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学院 / 实验室细分浏览</w:t>
            </w:r>
          </w:p>
        </w:tc>
        <w:tc>
          <w:tcPr>
            <w:tcW w:type="dxa" w:w="1440"/>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预留</w:t>
            </w:r>
          </w:p>
        </w:tc>
        <w:tc>
          <w:tcPr>
            <w:tcW w:type="dxa" w:w="662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第一阶段预留字段和接口，不要求完整上线</w:t>
            </w:r>
          </w:p>
        </w:tc>
      </w:tr>
      <w:tr>
        <w:tc>
          <w:tcPr>
            <w:tcW w:type="dxa" w:w="2160"/>
            <w:vAlign w:val="center"/>
            <w:tcMar>
              <w:top w:w="90" w:type="dxa"/>
              <w:start w:w="120" w:type="dxa"/>
              <w:bottom w:w="90" w:type="dxa"/>
              <w:end w:w="120" w:type="dxa"/>
            </w:tcMar>
          </w:tcPr>
          <w:p>
            <w:pPr>
              <w:spacing w:line="276" w:lineRule="auto" w:before="0" w:after="40"/>
            </w:pPr>
            <w:r>
              <w:rPr>
                <w:sz w:val="20"/>
                <w:rFonts w:eastAsia="Microsoft YaHei" w:ascii="Calibri" w:hAnsi="Calibri"/>
              </w:rPr>
              <w:t>管理员权限配置</w:t>
            </w:r>
          </w:p>
        </w:tc>
        <w:tc>
          <w:tcPr>
            <w:tcW w:type="dxa" w:w="1440"/>
            <w:vAlign w:val="center"/>
            <w:tcMar>
              <w:top w:w="90" w:type="dxa"/>
              <w:start w:w="120" w:type="dxa"/>
              <w:bottom w:w="90" w:type="dxa"/>
              <w:end w:w="120" w:type="dxa"/>
            </w:tcMar>
          </w:tcPr>
          <w:p>
            <w:pPr>
              <w:spacing w:line="276" w:lineRule="auto" w:before="0" w:after="40"/>
            </w:pPr>
            <w:r>
              <w:rPr>
                <w:sz w:val="20"/>
                <w:rFonts w:eastAsia="Microsoft YaHei" w:ascii="Calibri" w:hAnsi="Calibri"/>
              </w:rPr>
              <w:t>上线</w:t>
            </w:r>
          </w:p>
        </w:tc>
        <w:tc>
          <w:tcPr>
            <w:tcW w:type="dxa" w:w="6624"/>
            <w:vAlign w:val="center"/>
            <w:tcMar>
              <w:top w:w="90" w:type="dxa"/>
              <w:start w:w="120" w:type="dxa"/>
              <w:bottom w:w="90" w:type="dxa"/>
              <w:end w:w="120" w:type="dxa"/>
            </w:tcMar>
          </w:tcPr>
          <w:p>
            <w:pPr>
              <w:spacing w:line="276" w:lineRule="auto" w:before="0" w:after="40"/>
            </w:pPr>
            <w:r>
              <w:rPr>
                <w:sz w:val="20"/>
                <w:rFonts w:eastAsia="Microsoft YaHei" w:ascii="Calibri" w:hAnsi="Calibri"/>
              </w:rPr>
              <w:t>管理员按学校范围配置用户可查看的学校集合</w:t>
            </w:r>
          </w:p>
        </w:tc>
      </w:tr>
    </w:tbl>
    <w:p/>
    <w:p>
      <w:pPr>
        <w:pStyle w:val="Heading1"/>
      </w:pPr>
      <w:r>
        <w:rPr>
          <w:rFonts w:eastAsia="Microsoft YaHei" w:ascii="Calibri" w:hAnsi="Calibri"/>
        </w:rPr>
        <w:t>3. 页面与模块关系</w:t>
      </w:r>
    </w:p>
    <w:p>
      <w:pPr>
        <w:spacing w:line="312" w:lineRule="auto" w:before="0" w:after="120"/>
      </w:pPr>
      <w:r>
        <w:rPr>
          <w:rFonts w:eastAsia="Microsoft YaHei" w:ascii="Calibri" w:hAnsi="Calibri"/>
        </w:rPr>
        <w:t>推荐采用“入口页 -&gt; 分类页 / 搜索结果页 -&gt; 详情页”的轻量结构，保证核心路径短而清晰。</w:t>
      </w:r>
    </w:p>
    <w:p>
      <w:pPr>
        <w:pStyle w:val="ListNumber"/>
        <w:spacing w:line="300" w:lineRule="auto" w:before="0" w:after="40"/>
        <w:ind w:left="216"/>
      </w:pPr>
      <w:r>
        <w:rPr>
          <w:rFonts w:eastAsia="Microsoft YaHei" w:ascii="Calibri" w:hAnsi="Calibri"/>
          <w:sz w:val="21"/>
        </w:rPr>
        <w:t>首页：展示总览指标、搜索框、国家分类入口和学校浏览入口。</w:t>
      </w:r>
    </w:p>
    <w:p>
      <w:pPr>
        <w:pStyle w:val="ListNumber"/>
        <w:spacing w:line="300" w:lineRule="auto" w:before="0" w:after="40"/>
        <w:ind w:left="216"/>
      </w:pPr>
      <w:r>
        <w:rPr>
          <w:rFonts w:eastAsia="Microsoft YaHei" w:ascii="Calibri" w:hAnsi="Calibri"/>
          <w:sz w:val="21"/>
        </w:rPr>
        <w:t>国家页 / 学校目录页：支持按国家查看学校列表；从学校卡片进入学校信息页。</w:t>
      </w:r>
    </w:p>
    <w:p>
      <w:pPr>
        <w:pStyle w:val="ListNumber"/>
        <w:spacing w:line="300" w:lineRule="auto" w:before="0" w:after="40"/>
        <w:ind w:left="216"/>
      </w:pPr>
      <w:r>
        <w:rPr>
          <w:rFonts w:eastAsia="Microsoft YaHei" w:ascii="Calibri" w:hAnsi="Calibri"/>
          <w:sz w:val="21"/>
        </w:rPr>
        <w:t>学校信息页：展示学校背景与统计指标，并提供进入该校人才列表的主按钮。</w:t>
      </w:r>
    </w:p>
    <w:p>
      <w:pPr>
        <w:pStyle w:val="ListNumber"/>
        <w:spacing w:line="300" w:lineRule="auto" w:before="0" w:after="40"/>
        <w:ind w:left="216"/>
      </w:pPr>
      <w:r>
        <w:rPr>
          <w:rFonts w:eastAsia="Microsoft YaHei" w:ascii="Calibri" w:hAnsi="Calibri"/>
          <w:sz w:val="21"/>
        </w:rPr>
        <w:t>人才列表页：展示该校或搜索条件下的人才列表，突出角色、学校、方向、代表成果等关键信息。</w:t>
      </w:r>
    </w:p>
    <w:p>
      <w:pPr>
        <w:pStyle w:val="ListNumber"/>
        <w:spacing w:line="300" w:lineRule="auto" w:before="0" w:after="40"/>
        <w:ind w:left="216"/>
      </w:pPr>
      <w:r>
        <w:rPr>
          <w:rFonts w:eastAsia="Microsoft YaHei" w:ascii="Calibri" w:hAnsi="Calibri"/>
          <w:sz w:val="21"/>
        </w:rPr>
        <w:t>人才详情页：用于完成更深入的候选人判断和人才池沉淀。</w:t>
      </w:r>
    </w:p>
    <w:tbl>
      <w:tblPr>
        <w:tblW w:type="auto" w:w="0"/>
        <w:tblLook w:firstColumn="1" w:firstRow="1" w:lastColumn="0" w:lastRow="0" w:noHBand="0" w:noVBand="1" w:val="04A0"/>
      </w:tblPr>
      <w:tblGrid>
        <w:gridCol w:w="9504"/>
      </w:tblGrid>
      <w:tr>
        <w:tc>
          <w:tcPr>
            <w:tcW w:type="dxa" w:w="9504"/>
            <w:shd w:fill="FFF2CC"/>
          </w:tcPr>
          <w:p>
            <w:pPr>
              <w:spacing w:line="288" w:lineRule="auto" w:before="40" w:after="40"/>
            </w:pPr>
            <w:r>
              <w:rPr>
                <w:b/>
                <w:color w:val="1F4E79"/>
                <w:rFonts w:eastAsia="Microsoft YaHei" w:ascii="Calibri" w:hAnsi="Calibri"/>
              </w:rPr>
              <w:t>设计原则：</w:t>
            </w:r>
            <w:r>
              <w:rPr>
                <w:rFonts w:eastAsia="Microsoft YaHei" w:ascii="Calibri" w:hAnsi="Calibri"/>
              </w:rPr>
              <w:t>搜索、分类浏览和详情查看三条路径最终汇合到统一的人才列表与人才详情对象。</w:t>
            </w:r>
            <w:r>
              <w:br/>
            </w:r>
            <w:r>
              <w:rPr>
                <w:rFonts w:eastAsia="Microsoft YaHei" w:ascii="Calibri" w:hAnsi="Calibri"/>
              </w:rPr>
              <w:t>学校信息页是连接“学校认知”和“人才发现”的桥梁页面，不应做成孤立的信息展示页。</w:t>
            </w:r>
          </w:p>
        </w:tc>
      </w:tr>
    </w:tbl>
    <w:p/>
    <w:p>
      <w:pPr>
        <w:pStyle w:val="Heading1"/>
      </w:pPr>
      <w:r>
        <w:rPr>
          <w:rFonts w:eastAsia="Microsoft YaHei" w:ascii="Calibri" w:hAnsi="Calibri"/>
        </w:rPr>
        <w:t>4. 核心页面设计要点</w:t>
      </w:r>
    </w:p>
    <w:tbl>
      <w:tblPr>
        <w:tblStyle w:val="TableGrid"/>
        <w:tblW w:type="auto" w:w="0"/>
        <w:jc w:val="center"/>
        <w:tblLayout w:type="fixed"/>
        <w:tblLook w:firstColumn="1" w:firstRow="1" w:lastColumn="0" w:lastRow="0" w:noHBand="0" w:noVBand="1" w:val="04A0"/>
      </w:tblPr>
      <w:tblGrid>
        <w:gridCol w:w="1728"/>
        <w:gridCol w:w="3168"/>
        <w:gridCol w:w="5328"/>
      </w:tblGrid>
      <w:tr>
        <w:tc>
          <w:tcPr>
            <w:tcW w:type="dxa" w:w="3168"/>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页面</w:t>
            </w:r>
          </w:p>
        </w:tc>
        <w:tc>
          <w:tcPr>
            <w:tcW w:type="dxa" w:w="3168"/>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核心模块</w:t>
            </w:r>
          </w:p>
        </w:tc>
        <w:tc>
          <w:tcPr>
            <w:tcW w:type="dxa" w:w="3168"/>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设计要点</w:t>
            </w:r>
          </w:p>
        </w:tc>
      </w:tr>
      <w:tr>
        <w:tc>
          <w:tcPr>
            <w:tcW w:type="dxa" w:w="172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首页</w:t>
            </w:r>
          </w:p>
        </w:tc>
        <w:tc>
          <w:tcPr>
            <w:tcW w:type="dxa" w:w="316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总览卡片、搜索框、国家入口、最近访问/快捷入口</w:t>
            </w:r>
          </w:p>
        </w:tc>
        <w:tc>
          <w:tcPr>
            <w:tcW w:type="dxa" w:w="532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信息简洁，用户一进来能判断库规模并立刻开始找人</w:t>
            </w:r>
          </w:p>
        </w:tc>
      </w:tr>
      <w:tr>
        <w:tc>
          <w:tcPr>
            <w:tcW w:type="dxa" w:w="1728"/>
            <w:vAlign w:val="center"/>
            <w:tcMar>
              <w:top w:w="90" w:type="dxa"/>
              <w:start w:w="120" w:type="dxa"/>
              <w:bottom w:w="90" w:type="dxa"/>
              <w:end w:w="120" w:type="dxa"/>
            </w:tcMar>
          </w:tcPr>
          <w:p>
            <w:pPr>
              <w:spacing w:line="276" w:lineRule="auto" w:before="0" w:after="40"/>
            </w:pPr>
            <w:r>
              <w:rPr>
                <w:sz w:val="20"/>
                <w:rFonts w:eastAsia="Microsoft YaHei" w:ascii="Calibri" w:hAnsi="Calibri"/>
              </w:rPr>
              <w:t>国家页</w:t>
            </w:r>
          </w:p>
        </w:tc>
        <w:tc>
          <w:tcPr>
            <w:tcW w:type="dxa" w:w="3168"/>
            <w:vAlign w:val="center"/>
            <w:tcMar>
              <w:top w:w="90" w:type="dxa"/>
              <w:start w:w="120" w:type="dxa"/>
              <w:bottom w:w="90" w:type="dxa"/>
              <w:end w:w="120" w:type="dxa"/>
            </w:tcMar>
          </w:tcPr>
          <w:p>
            <w:pPr>
              <w:spacing w:line="276" w:lineRule="auto" w:before="0" w:after="40"/>
            </w:pPr>
            <w:r>
              <w:rPr>
                <w:sz w:val="20"/>
                <w:rFonts w:eastAsia="Microsoft YaHei" w:ascii="Calibri" w:hAnsi="Calibri"/>
              </w:rPr>
              <w:t>国家筛选、学校列表、学校数量统计</w:t>
            </w:r>
          </w:p>
        </w:tc>
        <w:tc>
          <w:tcPr>
            <w:tcW w:type="dxa" w:w="5328"/>
            <w:vAlign w:val="center"/>
            <w:tcMar>
              <w:top w:w="90" w:type="dxa"/>
              <w:start w:w="120" w:type="dxa"/>
              <w:bottom w:w="90" w:type="dxa"/>
              <w:end w:w="120" w:type="dxa"/>
            </w:tcMar>
          </w:tcPr>
          <w:p>
            <w:pPr>
              <w:spacing w:line="276" w:lineRule="auto" w:before="0" w:after="40"/>
            </w:pPr>
            <w:r>
              <w:rPr>
                <w:sz w:val="20"/>
                <w:rFonts w:eastAsia="Microsoft YaHei" w:ascii="Calibri" w:hAnsi="Calibri"/>
              </w:rPr>
              <w:t>突出国家 -&gt; 学校的逐层浏览关系；避免把所有学校一次性堆叠</w:t>
            </w:r>
          </w:p>
        </w:tc>
      </w:tr>
      <w:tr>
        <w:tc>
          <w:tcPr>
            <w:tcW w:type="dxa" w:w="172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学校信息页</w:t>
            </w:r>
          </w:p>
        </w:tc>
        <w:tc>
          <w:tcPr>
            <w:tcW w:type="dxa" w:w="316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学校介绍、国家/地区、教授人数、学生人数、进入人才列表入口</w:t>
            </w:r>
          </w:p>
        </w:tc>
        <w:tc>
          <w:tcPr>
            <w:tcW w:type="dxa" w:w="532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以招聘使用价值为导向，不追求百科式全量学校资料</w:t>
            </w:r>
          </w:p>
        </w:tc>
      </w:tr>
      <w:tr>
        <w:tc>
          <w:tcPr>
            <w:tcW w:type="dxa" w:w="1728"/>
            <w:vAlign w:val="center"/>
            <w:tcMar>
              <w:top w:w="90" w:type="dxa"/>
              <w:start w:w="120" w:type="dxa"/>
              <w:bottom w:w="90" w:type="dxa"/>
              <w:end w:w="120" w:type="dxa"/>
            </w:tcMar>
          </w:tcPr>
          <w:p>
            <w:pPr>
              <w:spacing w:line="276" w:lineRule="auto" w:before="0" w:after="40"/>
            </w:pPr>
            <w:r>
              <w:rPr>
                <w:sz w:val="20"/>
                <w:rFonts w:eastAsia="Microsoft YaHei" w:ascii="Calibri" w:hAnsi="Calibri"/>
              </w:rPr>
              <w:t>人才列表页</w:t>
            </w:r>
          </w:p>
        </w:tc>
        <w:tc>
          <w:tcPr>
            <w:tcW w:type="dxa" w:w="3168"/>
            <w:vAlign w:val="center"/>
            <w:tcMar>
              <w:top w:w="90" w:type="dxa"/>
              <w:start w:w="120" w:type="dxa"/>
              <w:bottom w:w="90" w:type="dxa"/>
              <w:end w:w="120" w:type="dxa"/>
            </w:tcMar>
          </w:tcPr>
          <w:p>
            <w:pPr>
              <w:spacing w:line="276" w:lineRule="auto" w:before="0" w:after="40"/>
            </w:pPr>
            <w:r>
              <w:rPr>
                <w:sz w:val="20"/>
                <w:rFonts w:eastAsia="Microsoft YaHei" w:ascii="Calibri" w:hAnsi="Calibri"/>
              </w:rPr>
              <w:t>筛选条、排序、角色标签、基础画像摘要</w:t>
            </w:r>
          </w:p>
        </w:tc>
        <w:tc>
          <w:tcPr>
            <w:tcW w:type="dxa" w:w="5328"/>
            <w:vAlign w:val="center"/>
            <w:tcMar>
              <w:top w:w="90" w:type="dxa"/>
              <w:start w:w="120" w:type="dxa"/>
              <w:bottom w:w="90" w:type="dxa"/>
              <w:end w:w="120" w:type="dxa"/>
            </w:tcMar>
          </w:tcPr>
          <w:p>
            <w:pPr>
              <w:spacing w:line="276" w:lineRule="auto" w:before="0" w:after="40"/>
            </w:pPr>
            <w:r>
              <w:rPr>
                <w:sz w:val="20"/>
                <w:rFonts w:eastAsia="Microsoft YaHei" w:ascii="Calibri" w:hAnsi="Calibri"/>
              </w:rPr>
              <w:t>角色要清晰可见；列表密度适中；支持快速点进详情</w:t>
            </w:r>
          </w:p>
        </w:tc>
      </w:tr>
      <w:tr>
        <w:tc>
          <w:tcPr>
            <w:tcW w:type="dxa" w:w="172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人才详情页</w:t>
            </w:r>
          </w:p>
        </w:tc>
        <w:tc>
          <w:tcPr>
            <w:tcW w:type="dxa" w:w="316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基本信息、方向标签、代表成果、履历线索、导出/加入人才池入口</w:t>
            </w:r>
          </w:p>
        </w:tc>
        <w:tc>
          <w:tcPr>
            <w:tcW w:type="dxa" w:w="5328"/>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帮助用户完成“值不值得继续跟进”的判断</w:t>
            </w:r>
          </w:p>
        </w:tc>
      </w:tr>
      <w:tr>
        <w:tc>
          <w:tcPr>
            <w:tcW w:type="dxa" w:w="1728"/>
            <w:vAlign w:val="center"/>
            <w:tcMar>
              <w:top w:w="90" w:type="dxa"/>
              <w:start w:w="120" w:type="dxa"/>
              <w:bottom w:w="90" w:type="dxa"/>
              <w:end w:w="120" w:type="dxa"/>
            </w:tcMar>
          </w:tcPr>
          <w:p>
            <w:pPr>
              <w:spacing w:line="276" w:lineRule="auto" w:before="0" w:after="40"/>
            </w:pPr>
            <w:r>
              <w:rPr>
                <w:sz w:val="20"/>
                <w:rFonts w:eastAsia="Microsoft YaHei" w:ascii="Calibri" w:hAnsi="Calibri"/>
              </w:rPr>
              <w:t>权限配置页</w:t>
            </w:r>
          </w:p>
        </w:tc>
        <w:tc>
          <w:tcPr>
            <w:tcW w:type="dxa" w:w="3168"/>
            <w:vAlign w:val="center"/>
            <w:tcMar>
              <w:top w:w="90" w:type="dxa"/>
              <w:start w:w="120" w:type="dxa"/>
              <w:bottom w:w="90" w:type="dxa"/>
              <w:end w:w="120" w:type="dxa"/>
            </w:tcMar>
          </w:tcPr>
          <w:p>
            <w:pPr>
              <w:spacing w:line="276" w:lineRule="auto" w:before="0" w:after="40"/>
            </w:pPr>
            <w:r>
              <w:rPr>
                <w:sz w:val="20"/>
                <w:rFonts w:eastAsia="Microsoft YaHei" w:ascii="Calibri" w:hAnsi="Calibri"/>
              </w:rPr>
              <w:t>用户列表、学校范围授权、授权结果预览</w:t>
            </w:r>
          </w:p>
        </w:tc>
        <w:tc>
          <w:tcPr>
            <w:tcW w:type="dxa" w:w="5328"/>
            <w:vAlign w:val="center"/>
            <w:tcMar>
              <w:top w:w="90" w:type="dxa"/>
              <w:start w:w="120" w:type="dxa"/>
              <w:bottom w:w="90" w:type="dxa"/>
              <w:end w:w="120" w:type="dxa"/>
            </w:tcMar>
          </w:tcPr>
          <w:p>
            <w:pPr>
              <w:spacing w:line="276" w:lineRule="auto" w:before="0" w:after="40"/>
            </w:pPr>
            <w:r>
              <w:rPr>
                <w:sz w:val="20"/>
                <w:rFonts w:eastAsia="Microsoft YaHei" w:ascii="Calibri" w:hAnsi="Calibri"/>
              </w:rPr>
              <w:t>操作尽量直观，防止权限配置出错</w:t>
            </w:r>
          </w:p>
        </w:tc>
      </w:tr>
    </w:tbl>
    <w:p/>
    <w:p>
      <w:pPr>
        <w:pStyle w:val="Heading1"/>
      </w:pPr>
      <w:r>
        <w:rPr>
          <w:rFonts w:eastAsia="Microsoft YaHei" w:ascii="Calibri" w:hAnsi="Calibri"/>
        </w:rPr>
        <w:t>5. 业务规则落点</w:t>
      </w:r>
    </w:p>
    <w:p>
      <w:pPr>
        <w:pStyle w:val="ListBullet"/>
        <w:spacing w:line="300" w:lineRule="auto" w:before="0" w:after="40"/>
        <w:ind w:left="216" w:firstLine="0"/>
      </w:pPr>
      <w:r>
        <w:rPr>
          <w:rFonts w:eastAsia="Microsoft YaHei" w:ascii="Calibri" w:hAnsi="Calibri"/>
          <w:sz w:val="21"/>
        </w:rPr>
        <w:t>教授类人才、学生类人才和待确认角色采用统一口径管理；无法可靠识别时标记为“待确认”，不强行误判。</w:t>
      </w:r>
    </w:p>
    <w:p>
      <w:pPr>
        <w:pStyle w:val="ListBullet"/>
        <w:spacing w:line="300" w:lineRule="auto" w:before="0" w:after="40"/>
        <w:ind w:left="216" w:firstLine="0"/>
      </w:pPr>
      <w:r>
        <w:rPr>
          <w:rFonts w:eastAsia="Microsoft YaHei" w:ascii="Calibri" w:hAnsi="Calibri"/>
          <w:sz w:val="21"/>
        </w:rPr>
        <w:t>首页、学校页、人才列表和详情页展示的统计信息都必须受学校范围权限影响。</w:t>
      </w:r>
    </w:p>
    <w:p>
      <w:pPr>
        <w:pStyle w:val="ListBullet"/>
        <w:spacing w:line="300" w:lineRule="auto" w:before="0" w:after="40"/>
        <w:ind w:left="216" w:firstLine="0"/>
      </w:pPr>
      <w:r>
        <w:rPr>
          <w:rFonts w:eastAsia="Microsoft YaHei" w:ascii="Calibri" w:hAnsi="Calibri"/>
          <w:sz w:val="21"/>
        </w:rPr>
        <w:t>学校统计以已入库且可展示的人才为口径计算，不与原始数据抓取量直接等同。</w:t>
      </w:r>
    </w:p>
    <w:p>
      <w:pPr>
        <w:pStyle w:val="ListBullet"/>
        <w:spacing w:line="300" w:lineRule="auto" w:before="0" w:after="40"/>
        <w:ind w:left="216" w:firstLine="0"/>
      </w:pPr>
      <w:r>
        <w:rPr>
          <w:rFonts w:eastAsia="Microsoft YaHei" w:ascii="Calibri" w:hAnsi="Calibri"/>
          <w:sz w:val="21"/>
        </w:rPr>
        <w:t>搜索结果必须与权限范围、数据可见性和角色识别状态保持一致。</w:t>
      </w:r>
    </w:p>
    <w:p>
      <w:pPr>
        <w:pStyle w:val="ListBullet"/>
        <w:spacing w:line="300" w:lineRule="auto" w:before="0" w:after="40"/>
        <w:ind w:left="216" w:firstLine="0"/>
      </w:pPr>
      <w:r>
        <w:rPr>
          <w:rFonts w:eastAsia="Microsoft YaHei" w:ascii="Calibri" w:hAnsi="Calibri"/>
          <w:sz w:val="21"/>
        </w:rPr>
        <w:t>学院 / 实验室字段允许为空，不将其作为第一阶段数据完整性的上线前提。</w:t>
      </w:r>
    </w:p>
    <w:p>
      <w:pPr>
        <w:pStyle w:val="Heading1"/>
      </w:pPr>
      <w:r>
        <w:rPr>
          <w:rFonts w:eastAsia="Microsoft YaHei" w:ascii="Calibri" w:hAnsi="Calibri"/>
        </w:rPr>
        <w:t>6. 上线策略与非目标</w:t>
      </w:r>
    </w:p>
    <w:tbl>
      <w:tblPr>
        <w:tblStyle w:val="TableGrid"/>
        <w:tblW w:type="auto" w:w="0"/>
        <w:jc w:val="center"/>
        <w:tblLayout w:type="fixed"/>
        <w:tblLook w:firstColumn="1" w:firstRow="1" w:lastColumn="0" w:lastRow="0" w:noHBand="0" w:noVBand="1" w:val="04A0"/>
      </w:tblPr>
      <w:tblGrid>
        <w:gridCol w:w="1872"/>
        <w:gridCol w:w="8064"/>
      </w:tblGrid>
      <w:tr>
        <w:tc>
          <w:tcPr>
            <w:tcW w:type="dxa" w:w="4752"/>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类别</w:t>
            </w:r>
          </w:p>
        </w:tc>
        <w:tc>
          <w:tcPr>
            <w:tcW w:type="dxa" w:w="4752"/>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内容</w:t>
            </w:r>
          </w:p>
        </w:tc>
      </w:tr>
      <w:tr>
        <w:tc>
          <w:tcPr>
            <w:tcW w:type="dxa" w:w="1872"/>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上线策略</w:t>
            </w:r>
          </w:p>
        </w:tc>
        <w:tc>
          <w:tcPr>
            <w:tcW w:type="dxa" w:w="806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采用“先主链路、后增强”的节奏：先保证总览、搜索、学校浏览、学校页、人才列表与详情页可稳定试用，再逐步增强排序、关系洞察和更细粒度分类。</w:t>
            </w:r>
          </w:p>
        </w:tc>
      </w:tr>
      <w:tr>
        <w:tc>
          <w:tcPr>
            <w:tcW w:type="dxa" w:w="1872"/>
            <w:vAlign w:val="center"/>
            <w:tcMar>
              <w:top w:w="90" w:type="dxa"/>
              <w:start w:w="120" w:type="dxa"/>
              <w:bottom w:w="90" w:type="dxa"/>
              <w:end w:w="120" w:type="dxa"/>
            </w:tcMar>
          </w:tcPr>
          <w:p>
            <w:pPr>
              <w:spacing w:line="276" w:lineRule="auto" w:before="0" w:after="40"/>
            </w:pPr>
            <w:r>
              <w:rPr>
                <w:sz w:val="20"/>
                <w:rFonts w:eastAsia="Microsoft YaHei" w:ascii="Calibri" w:hAnsi="Calibri"/>
              </w:rPr>
              <w:t>明确非目标</w:t>
            </w:r>
          </w:p>
        </w:tc>
        <w:tc>
          <w:tcPr>
            <w:tcW w:type="dxa" w:w="8064"/>
            <w:vAlign w:val="center"/>
            <w:tcMar>
              <w:top w:w="90" w:type="dxa"/>
              <w:start w:w="120" w:type="dxa"/>
              <w:bottom w:w="90" w:type="dxa"/>
              <w:end w:w="120" w:type="dxa"/>
            </w:tcMar>
          </w:tcPr>
          <w:p>
            <w:pPr>
              <w:spacing w:line="276" w:lineRule="auto" w:before="0" w:after="40"/>
            </w:pPr>
            <w:r>
              <w:rPr>
                <w:sz w:val="20"/>
                <w:rFonts w:eastAsia="Microsoft YaHei" w:ascii="Calibri" w:hAnsi="Calibri"/>
              </w:rPr>
              <w:t>第一阶段不做复杂推荐算法、不做完整学院 / 实验室导航体系、不做全量多源融合、不做复杂审批流权限。</w:t>
            </w:r>
          </w:p>
        </w:tc>
      </w:tr>
    </w:tbl>
    <w:p/>
    <w:p>
      <w:pPr>
        <w:pStyle w:val="Heading1"/>
      </w:pPr>
      <w:r>
        <w:rPr>
          <w:rFonts w:eastAsia="Microsoft YaHei" w:ascii="Calibri" w:hAnsi="Calibri"/>
        </w:rPr>
        <w:t>7. 与开发拆分的对应关系</w:t>
      </w:r>
    </w:p>
    <w:tbl>
      <w:tblPr>
        <w:tblStyle w:val="TableGrid"/>
        <w:tblW w:type="auto" w:w="0"/>
        <w:jc w:val="center"/>
        <w:tblLayout w:type="fixed"/>
        <w:tblLook w:firstColumn="1" w:firstRow="1" w:lastColumn="0" w:lastRow="0" w:noHBand="0" w:noVBand="1" w:val="04A0"/>
      </w:tblPr>
      <w:tblGrid>
        <w:gridCol w:w="2016"/>
        <w:gridCol w:w="7344"/>
      </w:tblGrid>
      <w:tr>
        <w:tc>
          <w:tcPr>
            <w:tcW w:type="dxa" w:w="4752"/>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任务包</w:t>
            </w:r>
          </w:p>
        </w:tc>
        <w:tc>
          <w:tcPr>
            <w:tcW w:type="dxa" w:w="4752"/>
            <w:vAlign w:val="center"/>
            <w:tcMar>
              <w:top w:w="90" w:type="dxa"/>
              <w:start w:w="120" w:type="dxa"/>
              <w:bottom w:w="90" w:type="dxa"/>
              <w:end w:w="120" w:type="dxa"/>
            </w:tcMar>
            <w:shd w:fill="1F4E79"/>
          </w:tcPr>
          <w:p>
            <w:pPr>
              <w:spacing w:line="276" w:lineRule="auto" w:before="0" w:after="40"/>
              <w:jc w:val="center"/>
            </w:pPr>
            <w:r>
              <w:rPr>
                <w:b/>
                <w:color w:val="FFFFFF"/>
                <w:sz w:val="20"/>
                <w:rFonts w:eastAsia="Microsoft YaHei" w:ascii="Calibri" w:hAnsi="Calibri"/>
              </w:rPr>
              <w:t>建议拆分</w:t>
            </w:r>
          </w:p>
        </w:tc>
      </w:tr>
      <w:tr>
        <w:tc>
          <w:tcPr>
            <w:tcW w:type="dxa" w:w="2016"/>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数据接入</w:t>
            </w:r>
          </w:p>
        </w:tc>
        <w:tc>
          <w:tcPr>
            <w:tcW w:type="dxa" w:w="734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OpenAlex Connector、原始数据落库、增量同步任务</w:t>
            </w:r>
          </w:p>
        </w:tc>
      </w:tr>
      <w:tr>
        <w:tc>
          <w:tcPr>
            <w:tcW w:type="dxa" w:w="2016"/>
            <w:vAlign w:val="center"/>
            <w:tcMar>
              <w:top w:w="90" w:type="dxa"/>
              <w:start w:w="120" w:type="dxa"/>
              <w:bottom w:w="90" w:type="dxa"/>
              <w:end w:w="120" w:type="dxa"/>
            </w:tcMar>
          </w:tcPr>
          <w:p>
            <w:pPr>
              <w:spacing w:line="276" w:lineRule="auto" w:before="0" w:after="40"/>
            </w:pPr>
            <w:r>
              <w:rPr>
                <w:sz w:val="20"/>
                <w:rFonts w:eastAsia="Microsoft YaHei" w:ascii="Calibri" w:hAnsi="Calibri"/>
              </w:rPr>
              <w:t>基础对象构建</w:t>
            </w:r>
          </w:p>
        </w:tc>
        <w:tc>
          <w:tcPr>
            <w:tcW w:type="dxa" w:w="7344"/>
            <w:vAlign w:val="center"/>
            <w:tcMar>
              <w:top w:w="90" w:type="dxa"/>
              <w:start w:w="120" w:type="dxa"/>
              <w:bottom w:w="90" w:type="dxa"/>
              <w:end w:w="120" w:type="dxa"/>
            </w:tcMar>
          </w:tcPr>
          <w:p>
            <w:pPr>
              <w:spacing w:line="276" w:lineRule="auto" w:before="0" w:after="40"/>
            </w:pPr>
            <w:r>
              <w:rPr>
                <w:sz w:val="20"/>
                <w:rFonts w:eastAsia="Microsoft YaHei" w:ascii="Calibri" w:hAnsi="Calibri"/>
              </w:rPr>
              <w:t>学校目录、国家归类、学术人才主对象、角色识别</w:t>
            </w:r>
          </w:p>
        </w:tc>
      </w:tr>
      <w:tr>
        <w:tc>
          <w:tcPr>
            <w:tcW w:type="dxa" w:w="2016"/>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应用服务</w:t>
            </w:r>
          </w:p>
        </w:tc>
        <w:tc>
          <w:tcPr>
            <w:tcW w:type="dxa" w:w="734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总览统计服务、学校目录服务、人才搜索与列表服务、详情服务</w:t>
            </w:r>
          </w:p>
        </w:tc>
      </w:tr>
      <w:tr>
        <w:tc>
          <w:tcPr>
            <w:tcW w:type="dxa" w:w="2016"/>
            <w:vAlign w:val="center"/>
            <w:tcMar>
              <w:top w:w="90" w:type="dxa"/>
              <w:start w:w="120" w:type="dxa"/>
              <w:bottom w:w="90" w:type="dxa"/>
              <w:end w:w="120" w:type="dxa"/>
            </w:tcMar>
          </w:tcPr>
          <w:p>
            <w:pPr>
              <w:spacing w:line="276" w:lineRule="auto" w:before="0" w:after="40"/>
            </w:pPr>
            <w:r>
              <w:rPr>
                <w:sz w:val="20"/>
                <w:rFonts w:eastAsia="Microsoft YaHei" w:ascii="Calibri" w:hAnsi="Calibri"/>
              </w:rPr>
              <w:t>管理能力</w:t>
            </w:r>
          </w:p>
        </w:tc>
        <w:tc>
          <w:tcPr>
            <w:tcW w:type="dxa" w:w="7344"/>
            <w:vAlign w:val="center"/>
            <w:tcMar>
              <w:top w:w="90" w:type="dxa"/>
              <w:start w:w="120" w:type="dxa"/>
              <w:bottom w:w="90" w:type="dxa"/>
              <w:end w:w="120" w:type="dxa"/>
            </w:tcMar>
          </w:tcPr>
          <w:p>
            <w:pPr>
              <w:spacing w:line="276" w:lineRule="auto" w:before="0" w:after="40"/>
            </w:pPr>
            <w:r>
              <w:rPr>
                <w:sz w:val="20"/>
                <w:rFonts w:eastAsia="Microsoft YaHei" w:ascii="Calibri" w:hAnsi="Calibri"/>
              </w:rPr>
              <w:t>用户与学校范围授权、日志与审计</w:t>
            </w:r>
          </w:p>
        </w:tc>
      </w:tr>
      <w:tr>
        <w:tc>
          <w:tcPr>
            <w:tcW w:type="dxa" w:w="2016"/>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前端页面</w:t>
            </w:r>
          </w:p>
        </w:tc>
        <w:tc>
          <w:tcPr>
            <w:tcW w:type="dxa" w:w="7344"/>
            <w:vAlign w:val="center"/>
            <w:tcMar>
              <w:top w:w="90" w:type="dxa"/>
              <w:start w:w="120" w:type="dxa"/>
              <w:bottom w:w="90" w:type="dxa"/>
              <w:end w:w="120" w:type="dxa"/>
            </w:tcMar>
            <w:shd w:fill="EDF3F9"/>
          </w:tcPr>
          <w:p>
            <w:pPr>
              <w:spacing w:line="276" w:lineRule="auto" w:before="0" w:after="40"/>
            </w:pPr>
            <w:r>
              <w:rPr>
                <w:sz w:val="20"/>
                <w:rFonts w:eastAsia="Microsoft YaHei" w:ascii="Calibri" w:hAnsi="Calibri"/>
              </w:rPr>
              <w:t>首页、学校目录、学校信息页、人才列表、详情页、权限配置页</w:t>
            </w:r>
          </w:p>
        </w:tc>
      </w:tr>
    </w:tbl>
    <w:p/>
    <w:p>
      <w:pPr>
        <w:pStyle w:val="Heading1"/>
      </w:pPr>
      <w:r>
        <w:rPr>
          <w:rFonts w:eastAsia="Microsoft YaHei" w:ascii="Calibri" w:hAnsi="Calibri"/>
        </w:rPr>
        <w:t>8. 本文件结论</w:t>
      </w:r>
    </w:p>
    <w:p>
      <w:pPr>
        <w:spacing w:line="312" w:lineRule="auto" w:before="0" w:after="120"/>
      </w:pPr>
      <w:r>
        <w:rPr>
          <w:rFonts w:eastAsia="Microsoft YaHei" w:ascii="Calibri" w:hAnsi="Calibri"/>
        </w:rPr>
        <w:t>学术人才子系统 MVP 的方案设计应坚持“入口清晰、路径短、角色可见、按学校收边、权限统一生效”的设计原则。只要上述核心链路达到可稳定试用水平，第一阶段就具备较强的业务验证价值。</w:t>
      </w:r>
    </w:p>
    <w:sectPr w:rsidR="00FC693F" w:rsidRPr="0006063C" w:rsidSect="00034616">
      <w:footerReference w:type="default" r:id="rId9"/>
      <w:headerReference w:type="default" r:id="rId10"/>
      <w:pgSz w:w="12240" w:h="15840"/>
      <w:pgMar w:top="1224" w:right="1368" w:bottom="1152" w:left="1368"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8"/>
        <w:rFonts w:eastAsia="Microsoft YaHei" w:ascii="Calibri" w:hAnsi="Calibri"/>
      </w:rPr>
      <w:t xml:space="preserve">学术人才子系统MVP方案设计  |  第 </w:t>
    </w:r>
    <w:r>
      <w:rPr>
        <w:rFonts w:eastAsia="Microsoft YaHei" w:ascii="Calibri" w:hAnsi="Calibri"/>
      </w:rPr>
      <w:fldChar w:fldCharType="begin"/>
      <w:instrText xml:space="preserve">PAGE</w:instrText>
      <w:fldChar w:fldCharType="end"/>
    </w:r>
    <w:r>
      <w:rPr>
        <w:color w:val="606060"/>
        <w:sz w:val="18"/>
        <w:rFonts w:eastAsia="Microsoft YaHei" w:ascii="Calibri" w:hAnsi="Calibri"/>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06060"/>
        <w:sz w:val="18"/>
        <w:rFonts w:eastAsia="Microsoft YaHei" w:ascii="Calibri" w:hAnsi="Calibri"/>
      </w:rPr>
      <w:t>学术人才子系统MVP方案设计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eastAsia="Microsoft YaHe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eastAsia="Microsoft YaHe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