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接口设计说明（学术人才子系统 MVP）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适用范围：第一阶段学术人才子系统 MVP；用于统一前后端接口、管理接口、鉴权规则与返回口径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11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前端 / 后端 / 测试 / 产品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接口设计约定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接口前缀建议统一为 /api/v1。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接口默认返回 JSON；文件导出类接口返回文件流或下载地址。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所有应用接口都默认基于登录用户身份进行学校范围权限校验。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统一返回 request_id、code、message、data 字段，便于定位问题。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列表接口统一支持 page、page_size；第一阶段 page_size 建议默认 20。</w:t>
      </w:r>
    </w:p>
    <w:p>
      <w:pPr>
        <w:pStyle w:val="Heading1"/>
      </w:pPr>
      <w:r>
        <w:rPr>
          <w:rFonts w:eastAsia="Microsoft YaHei" w:ascii="Calibri" w:hAnsi="Calibri"/>
        </w:rPr>
        <w:t>2. 返回结构建议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字段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request_id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本次请求的唯一标识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code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业务状态码，0 表示成功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message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结果说明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data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实际数据对象；列表场景包含 items / total / page / page_size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应用查询接口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152"/>
        <w:gridCol w:w="4176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接口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方法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/api/v1/overview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返回首页总览指标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/api/v1/countries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返回授权范围内有数据的国家列表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/api/v1/schools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按国家或关键字返回学校列表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/api/v1/schools/{school_id}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返回学校信息页数据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/api/v1/schools/{school_id}/talents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返回某校人才列表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/api/v1/talents/search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关键字搜索人才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/api/v1/talents/{talent_id}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返回人才详情页数据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管理接口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152"/>
        <w:gridCol w:w="3600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接口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方法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说明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/api/v1/admin/users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管理员查看用户列表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/api/v1/admin/users/{user_id}/school-scopes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查看用户当前学校授权范围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/api/v1/admin/users/{user_id}/school-scopes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POST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设置用户学校授权范围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/api/v1/admin/audit/permission-changes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查看授权变更日志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/api/v1/admin/sync-jobs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查看同步任务状态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接口字段示例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以下给出关键接口的字段建议，供前后端协同和测试用例编写参考。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736"/>
        <w:gridCol w:w="403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接口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关键输入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关键输出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/overview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无；从登录态识别用户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school_count, professor_count, student_count, stat_version, generated_at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/schools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country_code, keyword, page, page_size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school_id, school_name, country_name, professor_count, student_count, short_intro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/schools/{id}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school_name, country_name, intro, professor_count, student_count, talent_list_entry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/schools/{id}/talents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school_id, keyword, role_type, page, page_size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talent_id, name, role_type, school_name, topic_tags, summary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/talents/search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keyword, page, page_size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与人才列表统一返回结构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GET /talents/{id}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talent_id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basic_profile, role_profile, topics, selected_works, school_context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鉴权与权限控制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overview、schools、school detail、talent list、talent detail 都需要根据当前用户的学校授权范围进行过滤。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对于无权限的 school_id / talent_id 访问，返回无权限业务码，不泄露对象存在性以外的更多信息。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管理接口仅管理员可调用；普通用户访问管理接口应直接拒绝。</w:t>
      </w:r>
    </w:p>
    <w:p>
      <w:pPr>
        <w:pStyle w:val="Heading1"/>
      </w:pPr>
      <w:r>
        <w:rPr>
          <w:rFonts w:eastAsia="Microsoft YaHei" w:ascii="Calibri" w:hAnsi="Calibri"/>
        </w:rPr>
        <w:t>7. 错误码建议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328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业务码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含义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备注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0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成功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正常返回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1001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参数错误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缺少必填参数或参数格式不合法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1002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未登录或登录态失效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需重新认证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1003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无权限访问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学校范围或管理员权限不足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1004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对象不存在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school_id 或 talent_id 未找到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2001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统计数据暂未生成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页面可转为空态或提示态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2002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搜索服务超时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建议前端给出重试提示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8. 接口演进建议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第一阶段保持接口简单和稳定，避免一次性将学院 / 实验室等未来字段写死为必填。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后续新增来源和对象时，优先扩展 data 中的可选字段或新增专用接口，而不是直接破坏原有响应结构。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建议为关键接口保留 version 字段或通过 /api/v2 演进，减少前后端频繁联动调整。</w:t>
      </w:r>
    </w:p>
    <w:p>
      <w:pPr>
        <w:pStyle w:val="Heading1"/>
      </w:pPr>
      <w:r>
        <w:rPr>
          <w:rFonts w:eastAsia="Microsoft YaHei" w:ascii="Calibri" w:hAnsi="Calibri"/>
        </w:rPr>
        <w:t>9.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接口设计应围绕“统一口径、权限内建、轻量稳定”展开。只要首页、学校目录、学校页、人才列表、人才详情与权限管理接口定义清楚，前后端就可以并行推进并降低联调风险。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接口设计说明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接口设计说明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