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eastAsia="Microsoft YaHei" w:ascii="Calibri" w:hAnsi="Calibri"/>
        </w:rPr>
        <w:t>智能人才库项目</w:t>
        <w:br/>
        <w:t>权限与安全设计说明</w:t>
      </w:r>
    </w:p>
    <w:p>
      <w:pPr>
        <w:pStyle w:val="Subtitle"/>
        <w:spacing w:line="288" w:lineRule="auto" w:before="0" w:after="360"/>
        <w:jc w:val="left"/>
      </w:pPr>
      <w:r>
        <w:rPr>
          <w:rFonts w:eastAsia="Microsoft YaHei" w:ascii="Calibri" w:hAnsi="Calibri"/>
        </w:rPr>
        <w:t>适用范围：第一阶段学术人才子系统 MVP，兼顾后续扩展；用于定义授权模型、访问控制、审计要求与安全基线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文档编号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b/>
                <w:color w:val="282828"/>
                <w:sz w:val="20"/>
                <w:rFonts w:eastAsia="Microsoft YaHei" w:ascii="Calibri" w:hAnsi="Calibri"/>
              </w:rPr>
              <w:t>14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版本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F8FB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V1.0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阶段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方案设计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编制日期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F8FB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2026-03-16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适用对象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产品 / 架构 / 开发 / 测试 / 安全 / 管理员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fill="EDF3F9"/>
          </w:tcPr>
          <w:p>
            <w:pPr>
              <w:spacing w:line="288" w:lineRule="auto" w:before="40" w:after="40"/>
            </w:pPr>
            <w:r>
              <w:rPr>
                <w:i/>
                <w:color w:val="282828"/>
                <w:sz w:val="21"/>
                <w:rFonts w:eastAsia="Microsoft YaHei" w:ascii="Calibri" w:hAnsi="Calibri"/>
              </w:rPr>
              <w:t>使用说明：本文件属于方案设计阶段交付物，重点回答“准备如何实现”，用于衔接需求分析、开发任务包拆分、技术评审与阶段验收。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1. 设计目标</w:t>
      </w:r>
    </w:p>
    <w:p>
      <w:pPr>
        <w:spacing w:line="312" w:lineRule="auto" w:before="0" w:after="120"/>
      </w:pPr>
      <w:r>
        <w:rPr>
          <w:rFonts w:eastAsia="Microsoft YaHei" w:ascii="Calibri" w:hAnsi="Calibri"/>
        </w:rPr>
        <w:t>权限与安全设计的目标，是确保系统中“谁可以看什么、谁可以配置什么、操作是否可追溯”被明确规范，避免第一阶段因为权限边界不清导致统计口径、搜索结果和详情展示不一致。</w:t>
      </w:r>
    </w:p>
    <w:p>
      <w:pPr>
        <w:pStyle w:val="Heading1"/>
      </w:pPr>
      <w:r>
        <w:rPr>
          <w:rFonts w:eastAsia="Microsoft YaHei" w:ascii="Calibri" w:hAnsi="Calibri"/>
        </w:rPr>
        <w:t>2. 权限设计原则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最小权限原则：普通用户仅能查看被授权学校范围内的数据。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统一生效原则：权限必须同时作用于总览、学校目录、学校页、人才列表、搜索结果和人才详情。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后端强校验原则：权限控制在服务端统一执行，不能只依赖前端隐藏按钮。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可审计原则：所有授权变更都需要记录变更日志。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可扩展原则：第一阶段按学校授权，后续再扩展学院 / 实验室等更细粒度。</w:t>
      </w:r>
    </w:p>
    <w:p>
      <w:pPr>
        <w:pStyle w:val="Heading1"/>
      </w:pPr>
      <w:r>
        <w:rPr>
          <w:rFonts w:eastAsia="Microsoft YaHei" w:ascii="Calibri" w:hAnsi="Calibri"/>
        </w:rPr>
        <w:t>3. 角色模型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角色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权限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ADMIN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可查看自身授权范围内数据；可查看用户列表；可维护用户学校授权范围；可查看授权变更日志和同步任务状态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NORMAL_USER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仅可查看自身授权范围内的总览、学校目录、学校页、人才列表和详情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4. 授权对象与授权方式</w:t>
      </w:r>
    </w:p>
    <w:p>
      <w:pPr>
        <w:spacing w:line="312" w:lineRule="auto" w:before="0" w:after="120"/>
      </w:pPr>
      <w:r>
        <w:rPr>
          <w:rFonts w:eastAsia="Microsoft YaHei" w:ascii="Calibri" w:hAnsi="Calibri"/>
        </w:rPr>
        <w:t>第一阶段以学校作为最小授权对象。管理员为用户配置一个或多个 school_id；系统根据该集合判定用户的数据可见范围。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304"/>
        <w:gridCol w:w="4032"/>
      </w:tblGrid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对象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第一阶段状态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后续扩展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school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上线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作为最小授权对象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department / college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预留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后续如确有需要再引入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lab / group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预留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仅在数据质量和业务需求成熟后扩展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topic / project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不纳入第一阶段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避免过早做复杂多维权限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5. 权限控制矩阵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168"/>
        <w:gridCol w:w="2880"/>
      </w:tblGrid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场景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普通用户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管理员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首页总览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仅可看授权学校范围内汇总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同普通用户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国家 / 学校目录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仅可看授权学校涉及的国家与学校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同普通用户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学校信息页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仅可访问授权学校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同普通用户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人才列表与搜索结果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仅返回授权学校范围内人才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同普通用户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人才详情页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仅可看授权范围内人才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同普通用户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用户与授权维护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不可访问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可访问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授权变更日志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不可访问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可访问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6. 安全基线要求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登录认证建议接入公司统一身份认证（若条件具备），避免自建弱认证方案。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关键管理接口应校验管理员身份，并建议加入 CSRF / 重放保护等基础安全措施。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敏感配置、连接串和来源访问凭证需放在安全配置中心或环境变量，不允许硬编码。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日志中避免记录完整敏感凭证；必要时做脱敏处理。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导出文件若上线，应默认只包含用户授权范围内数据，并记录导出日志。</w:t>
      </w:r>
    </w:p>
    <w:p>
      <w:pPr>
        <w:pStyle w:val="Heading1"/>
      </w:pPr>
      <w:r>
        <w:rPr>
          <w:rFonts w:eastAsia="Microsoft YaHei" w:ascii="Calibri" w:hAnsi="Calibri"/>
        </w:rPr>
        <w:t>7. 审计与追踪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审计事件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建议记录内容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用户授权变更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操作人、目标用户、变更前学校集合、变更后学校集合、时间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无权限访问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用户、访问对象、对象类型、时间、请求标识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同步任务操作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触发人 / 调度源、任务类型、批次、结果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关键导出操作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导出人、范围、时间、文件标识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8. 本文件结论</w:t>
      </w:r>
    </w:p>
    <w:p>
      <w:pPr>
        <w:spacing w:line="312" w:lineRule="auto" w:before="0" w:after="120"/>
      </w:pPr>
      <w:r>
        <w:rPr>
          <w:rFonts w:eastAsia="Microsoft YaHei" w:ascii="Calibri" w:hAnsi="Calibri"/>
        </w:rPr>
        <w:t>第一阶段权限设计最重要的结论是：按学校范围授权已经足以支撑业务隔离与风险控制，且实现复杂度可控。只要做到后端统一校验、统计与搜索口径一致、授权变更可审计，第一阶段的权限与安全基线就是稳的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224" w:right="1368" w:bottom="1152" w:left="1368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6060"/>
        <w:sz w:val="18"/>
        <w:rFonts w:eastAsia="Microsoft YaHei" w:ascii="Calibri" w:hAnsi="Calibri"/>
      </w:rPr>
      <w:t xml:space="preserve">权限与安全设计  |  第 </w:t>
    </w:r>
    <w:r>
      <w:rPr>
        <w:rFonts w:eastAsia="Microsoft YaHei" w:ascii="Calibri" w:hAnsi="Calibri"/>
      </w:rPr>
      <w:fldChar w:fldCharType="begin"/>
      <w:instrText xml:space="preserve">PAGE</w:instrText>
      <w:fldChar w:fldCharType="end"/>
    </w:r>
    <w:r>
      <w:rPr>
        <w:color w:val="606060"/>
        <w:sz w:val="18"/>
        <w:rFonts w:eastAsia="Microsoft YaHei" w:ascii="Calibri" w:hAnsi="Calibri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06060"/>
        <w:sz w:val="18"/>
        <w:rFonts w:eastAsia="Microsoft YaHei" w:ascii="Calibri" w:hAnsi="Calibri"/>
      </w:rPr>
      <w:t>权限与安全设计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0606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