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 w:line="240" w:lineRule="auto"/>
        <w:jc w:val="center"/>
      </w:pPr>
      <w:r>
        <w:rPr>
          <w:rFonts w:ascii="Noto Sans CJK SC" w:hAnsi="Noto Sans CJK SC" w:eastAsia="Noto Sans CJK SC" w:cs="Noto Sans CJK SC"/>
          <w:b/>
          <w:color w:val="486581"/>
          <w:sz w:val="22"/>
        </w:rPr>
        <w:t>智能人才库项目</w:t>
      </w:r>
    </w:p>
    <w:p>
      <w:pPr>
        <w:pStyle w:val="Title"/>
        <w:spacing w:before="0" w:after="60" w:line="240" w:lineRule="auto"/>
        <w:jc w:val="center"/>
      </w:pPr>
      <w:r>
        <w:rPr>
          <w:rFonts w:ascii="Noto Sans CJK SC" w:hAnsi="Noto Sans CJK SC" w:eastAsia="Noto Sans CJK SC" w:cs="Noto Sans CJK SC"/>
          <w:b/>
          <w:sz w:val="40"/>
        </w:rPr>
        <w:t>规则冻结单</w:t>
      </w:r>
    </w:p>
    <w:p>
      <w:pPr>
        <w:spacing w:before="0" w:after="320" w:line="240" w:lineRule="auto"/>
        <w:jc w:val="center"/>
      </w:pPr>
      <w:r>
        <w:rPr>
          <w:rFonts w:ascii="Noto Sans CJK SC" w:hAnsi="Noto Sans CJK SC" w:eastAsia="Noto Sans CJK SC" w:cs="Noto Sans CJK SC"/>
          <w:color w:val="627D98"/>
          <w:sz w:val="21"/>
        </w:rPr>
        <w:t>（学术人才子系统 MVP）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rPr>
          <w:trHeight w:hRule="atLeast"/>
        </w:trPr>
        <w:tc>
          <w:tcPr>
            <w:tcW w:type="dxa" w:w="1474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AF2F8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B53"/>
                <w:sz w:val="19"/>
              </w:rPr>
              <w:t>文档编号</w:t>
            </w:r>
          </w:p>
        </w:tc>
        <w:tc>
          <w:tcPr>
            <w:tcW w:type="dxa" w:w="2835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43B53"/>
                <w:sz w:val="19"/>
              </w:rPr>
              <w:t>21</w:t>
            </w:r>
          </w:p>
        </w:tc>
        <w:tc>
          <w:tcPr>
            <w:tcW w:type="dxa" w:w="1474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AF2F8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B53"/>
                <w:sz w:val="19"/>
              </w:rPr>
              <w:t>版本</w:t>
            </w:r>
          </w:p>
        </w:tc>
        <w:tc>
          <w:tcPr>
            <w:tcW w:type="dxa" w:w="2835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43B53"/>
                <w:sz w:val="19"/>
              </w:rPr>
              <w:t>V1.0</w:t>
            </w:r>
          </w:p>
        </w:tc>
      </w:tr>
      <w:tr>
        <w:trPr>
          <w:trHeight w:hRule="atLeast"/>
        </w:trPr>
        <w:tc>
          <w:tcPr>
            <w:tcW w:type="dxa" w:w="1474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AF2F8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B53"/>
                <w:sz w:val="19"/>
              </w:rPr>
              <w:t>阶段</w:t>
            </w:r>
          </w:p>
        </w:tc>
        <w:tc>
          <w:tcPr>
            <w:tcW w:type="dxa" w:w="2835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43B53"/>
                <w:sz w:val="19"/>
              </w:rPr>
              <w:t>开发准备</w:t>
            </w:r>
          </w:p>
        </w:tc>
        <w:tc>
          <w:tcPr>
            <w:tcW w:type="dxa" w:w="1474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AF2F8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B53"/>
                <w:sz w:val="19"/>
              </w:rPr>
              <w:t>编制日期</w:t>
            </w:r>
          </w:p>
        </w:tc>
        <w:tc>
          <w:tcPr>
            <w:tcW w:type="dxa" w:w="2835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43B53"/>
                <w:sz w:val="19"/>
              </w:rPr>
              <w:t>2026-03-18</w:t>
            </w:r>
          </w:p>
        </w:tc>
      </w:tr>
      <w:tr>
        <w:trPr>
          <w:trHeight w:hRule="atLeast"/>
        </w:trPr>
        <w:tc>
          <w:tcPr>
            <w:tcW w:type="dxa" w:w="1474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AF2F8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B53"/>
                <w:sz w:val="19"/>
              </w:rPr>
              <w:t>适用范围</w:t>
            </w:r>
          </w:p>
        </w:tc>
        <w:tc>
          <w:tcPr>
            <w:tcW w:type="dxa" w:w="2835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43B53"/>
                <w:sz w:val="19"/>
              </w:rPr>
              <w:t>学术人才子系统 MVP</w:t>
            </w:r>
          </w:p>
        </w:tc>
        <w:tc>
          <w:tcPr>
            <w:tcW w:type="dxa" w:w="1474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AF2F8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B53"/>
                <w:sz w:val="19"/>
              </w:rPr>
              <w:t>适用对象</w:t>
            </w:r>
          </w:p>
        </w:tc>
        <w:tc>
          <w:tcPr>
            <w:tcW w:type="dxa" w:w="2835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43B53"/>
                <w:sz w:val="19"/>
              </w:rPr>
              <w:t>项目 Owner / 开发 / 测试 / AI 协同</w:t>
            </w:r>
          </w:p>
        </w:tc>
      </w:tr>
      <w:tr>
        <w:trPr>
          <w:trHeight w:hRule="atLeast"/>
        </w:trPr>
        <w:tc>
          <w:tcPr>
            <w:tcW w:type="dxa" w:w="1474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AF2F8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B53"/>
                <w:sz w:val="19"/>
              </w:rPr>
              <w:t>文档状态</w:t>
            </w:r>
          </w:p>
        </w:tc>
        <w:tc>
          <w:tcPr>
            <w:tcW w:type="dxa" w:w="2835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43B53"/>
                <w:sz w:val="19"/>
              </w:rPr>
              <w:t>冻结基线（首版）</w:t>
            </w:r>
          </w:p>
        </w:tc>
        <w:tc>
          <w:tcPr>
            <w:tcW w:type="dxa" w:w="1474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AF2F8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B53"/>
                <w:sz w:val="19"/>
              </w:rPr>
              <w:t>管理方式</w:t>
            </w:r>
          </w:p>
        </w:tc>
        <w:tc>
          <w:tcPr>
            <w:tcW w:type="dxa" w:w="2835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243B53"/>
                <w:sz w:val="19"/>
              </w:rPr>
              <w:t>变更需由项目 Owner 批准</w:t>
            </w:r>
          </w:p>
        </w:tc>
      </w:tr>
    </w:tbl>
    <w:p/>
    <w:p>
      <w:pPr>
        <w:pStyle w:val="Heading1"/>
        <w:spacing w:before="160" w:after="80" w:line="276" w:lineRule="auto"/>
      </w:pPr>
      <w:r>
        <w:rPr>
          <w:rFonts w:ascii="Noto Sans CJK SC" w:hAnsi="Noto Sans CJK SC" w:eastAsia="Noto Sans CJK SC" w:cs="Noto Sans CJK SC"/>
        </w:rPr>
        <w:t>1. 文档目的与适用范围</w:t>
      </w:r>
    </w:p>
    <w:p>
      <w:pPr>
        <w:spacing w:before="0" w:after="80" w:line="324" w:lineRule="auto"/>
      </w:pPr>
      <w:r>
        <w:rPr>
          <w:rFonts w:ascii="Noto Sans CJK SC" w:hAnsi="Noto Sans CJK SC" w:eastAsia="Noto Sans CJK SC" w:cs="Noto Sans CJK SC"/>
          <w:sz w:val="21"/>
        </w:rPr>
        <w:t>本文件用于把当前需求、方案、详细设计中已明确但分散的业务规则收束成</w:t>
      </w:r>
      <w:r>
        <w:rPr>
          <w:rFonts w:ascii="Noto Sans CJK SC" w:hAnsi="Noto Sans CJK SC" w:eastAsia="Noto Sans CJK SC" w:cs="Noto Sans CJK SC"/>
          <w:b/>
          <w:sz w:val="21"/>
        </w:rPr>
        <w:t>开发、测试、验收统一执行口径</w:t>
      </w:r>
      <w:r>
        <w:rPr>
          <w:rFonts w:ascii="Noto Sans CJK SC" w:hAnsi="Noto Sans CJK SC" w:eastAsia="Noto Sans CJK SC" w:cs="Noto Sans CJK SC"/>
          <w:sz w:val="21"/>
        </w:rPr>
        <w:t>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 w:cs="Noto Sans CJK SC"/>
          <w:sz w:val="21"/>
        </w:rPr>
        <w:t>本文件是第一阶段学术人才子系统 MVP 的规则基线文件；其目标是为 Claude Code 协同开发、测试用例设计、权限校验和阶段验收提供可直接执行的依据。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F6F9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88" w:lineRule="auto"/>
            </w:pPr>
            <w:r>
              <w:rPr>
                <w:rFonts w:ascii="Noto Sans CJK SC" w:hAnsi="Noto Sans CJK SC" w:eastAsia="Noto Sans CJK SC" w:cs="Noto Sans CJK SC"/>
                <w:b/>
                <w:color w:val="243B53"/>
                <w:sz w:val="21"/>
              </w:rPr>
              <w:t>本次冻结范围</w:t>
            </w:r>
          </w:p>
          <w:p>
            <w:pPr>
              <w:spacing w:before="0" w:after="20" w:line="300" w:lineRule="auto"/>
            </w:pPr>
            <w:r>
              <w:rPr>
                <w:rFonts w:ascii="Noto Sans CJK SC" w:hAnsi="Noto Sans CJK SC" w:eastAsia="Noto Sans CJK SC" w:cs="Noto Sans CJK SC"/>
                <w:color w:val="334E68"/>
                <w:sz w:val="20"/>
              </w:rPr>
              <w:t>• 学校范围权限规则</w:t>
            </w:r>
          </w:p>
          <w:p>
            <w:pPr>
              <w:spacing w:before="0" w:after="20" w:line="300" w:lineRule="auto"/>
            </w:pPr>
            <w:r>
              <w:rPr>
                <w:rFonts w:ascii="Noto Sans CJK SC" w:hAnsi="Noto Sans CJK SC" w:eastAsia="Noto Sans CJK SC" w:cs="Noto Sans CJK SC"/>
                <w:color w:val="334E68"/>
                <w:sz w:val="20"/>
              </w:rPr>
              <w:t>• 版本与发布规则</w:t>
            </w:r>
          </w:p>
          <w:p>
            <w:pPr>
              <w:spacing w:before="0" w:after="20" w:line="300" w:lineRule="auto"/>
            </w:pPr>
            <w:r>
              <w:rPr>
                <w:rFonts w:ascii="Noto Sans CJK SC" w:hAnsi="Noto Sans CJK SC" w:eastAsia="Noto Sans CJK SC" w:cs="Noto Sans CJK SC"/>
                <w:color w:val="334E68"/>
                <w:sz w:val="20"/>
              </w:rPr>
              <w:t>• 统计口径规则</w:t>
            </w:r>
          </w:p>
          <w:p>
            <w:pPr>
              <w:spacing w:before="0" w:after="20" w:line="300" w:lineRule="auto"/>
            </w:pPr>
            <w:r>
              <w:rPr>
                <w:rFonts w:ascii="Noto Sans CJK SC" w:hAnsi="Noto Sans CJK SC" w:eastAsia="Noto Sans CJK SC" w:cs="Noto Sans CJK SC"/>
                <w:color w:val="334E68"/>
                <w:sz w:val="20"/>
              </w:rPr>
              <w:t>• 角色识别与展示规则</w:t>
            </w:r>
          </w:p>
          <w:p>
            <w:pPr>
              <w:spacing w:before="0" w:after="20" w:line="300" w:lineRule="auto"/>
            </w:pPr>
            <w:r>
              <w:rPr>
                <w:rFonts w:ascii="Noto Sans CJK SC" w:hAnsi="Noto Sans CJK SC" w:eastAsia="Noto Sans CJK SC" w:cs="Noto Sans CJK SC"/>
                <w:color w:val="334E68"/>
                <w:sz w:val="20"/>
              </w:rPr>
              <w:t>• 搜索规则</w:t>
            </w:r>
          </w:p>
          <w:p>
            <w:pPr>
              <w:spacing w:before="0" w:after="20" w:line="300" w:lineRule="auto"/>
            </w:pPr>
            <w:r>
              <w:rPr>
                <w:rFonts w:ascii="Noto Sans CJK SC" w:hAnsi="Noto Sans CJK SC" w:eastAsia="Noto Sans CJK SC" w:cs="Noto Sans CJK SC"/>
                <w:color w:val="334E68"/>
                <w:sz w:val="20"/>
              </w:rPr>
              <w:t>• 学校目录与国家归类规则</w:t>
            </w:r>
          </w:p>
          <w:p>
            <w:pPr>
              <w:spacing w:before="0" w:after="20" w:line="300" w:lineRule="auto"/>
            </w:pPr>
            <w:r>
              <w:rPr>
                <w:rFonts w:ascii="Noto Sans CJK SC" w:hAnsi="Noto Sans CJK SC" w:eastAsia="Noto Sans CJK SC" w:cs="Noto Sans CJK SC"/>
                <w:color w:val="334E68"/>
                <w:sz w:val="20"/>
              </w:rPr>
              <w:t>• 异常与空态规则</w:t>
            </w:r>
          </w:p>
        </w:tc>
      </w:tr>
    </w:tbl>
    <w:p/>
    <w:p>
      <w:pPr>
        <w:pStyle w:val="Heading1"/>
        <w:spacing w:before="160" w:after="80" w:line="276" w:lineRule="auto"/>
      </w:pPr>
      <w:r>
        <w:rPr>
          <w:rFonts w:ascii="Noto Sans CJK SC" w:hAnsi="Noto Sans CJK SC" w:eastAsia="Noto Sans CJK SC" w:cs="Noto Sans CJK SC"/>
        </w:rPr>
        <w:t>2. 规则冻结总原则</w:t>
      </w:r>
    </w:p>
    <w:p>
      <w:pPr>
        <w:spacing w:before="0" w:after="80" w:line="324" w:lineRule="auto"/>
      </w:pPr>
      <w:r>
        <w:rPr>
          <w:rFonts w:ascii="Noto Sans CJK SC" w:hAnsi="Noto Sans CJK SC" w:eastAsia="Noto Sans CJK SC" w:cs="Noto Sans CJK SC"/>
          <w:sz w:val="21"/>
        </w:rPr>
        <w:t>第一阶段所有规则均应服务于招聘主链路，优先保证“看总览—按国家 / 学校浏览—看人才列表—看详情—做初筛判断”的闭环完整性。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 w:cs="Noto Sans CJK SC"/>
          <w:sz w:val="21"/>
        </w:rPr>
        <w:t>对未在本文件明确冻结的复杂规则，例如研究方向 taxonomy、复杂排序权重、TOP 候选人入池标准等，允许在后续迭代中补齐，但不得阻塞第一轮底座和主链路开发。</w:t>
      </w:r>
    </w:p>
    <w:p>
      <w:pPr>
        <w:pStyle w:val="Heading1"/>
        <w:spacing w:before="160" w:after="80" w:line="276" w:lineRule="auto"/>
      </w:pPr>
      <w:r>
        <w:rPr>
          <w:rFonts w:ascii="Noto Sans CJK SC" w:hAnsi="Noto Sans CJK SC" w:eastAsia="Noto Sans CJK SC" w:cs="Noto Sans CJK SC"/>
        </w:rPr>
        <w:t>3. 核心规则冻结清单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rHeight w:hRule="atLeast"/>
        </w:trPr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B53"/>
                <w:sz w:val="19"/>
              </w:rPr>
              <w:t>规则编号</w:t>
            </w:r>
          </w:p>
        </w:tc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B53"/>
                <w:sz w:val="19"/>
              </w:rPr>
              <w:t>冻结规则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B53"/>
                <w:sz w:val="19"/>
              </w:rPr>
              <w:t>执行口径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R-001</w:t>
            </w:r>
          </w:p>
        </w:tc>
        <w:tc>
          <w:tcPr>
            <w:tcW w:type="dxa" w:w="2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最小授权对象固定为学校</w:t>
            </w:r>
          </w:p>
        </w:tc>
        <w:tc>
          <w:tcPr>
            <w:tcW w:type="dxa" w:w="54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管理员按 school_id 集合为用户授权；第一阶段不做学院、实验室、技术方向等更细粒度权限。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R-002</w:t>
            </w:r>
          </w:p>
        </w:tc>
        <w:tc>
          <w:tcPr>
            <w:tcW w:type="dxa" w:w="2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权限统一作用于所有前台主链路</w:t>
            </w:r>
          </w:p>
        </w:tc>
        <w:tc>
          <w:tcPr>
            <w:tcW w:type="dxa" w:w="54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首页总览、国家 / 学校目录、学校页、人才列表、搜索结果、人才详情均按学校范围统一受控。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R-003</w:t>
            </w:r>
          </w:p>
        </w:tc>
        <w:tc>
          <w:tcPr>
            <w:tcW w:type="dxa" w:w="2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权限必须在服务端生效</w:t>
            </w:r>
          </w:p>
        </w:tc>
        <w:tc>
          <w:tcPr>
            <w:tcW w:type="dxa" w:w="54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即使用户通过 URL 直达或搜索命中，也不能看到未授权学校或未授权人才。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R-004</w:t>
            </w:r>
          </w:p>
        </w:tc>
        <w:tc>
          <w:tcPr>
            <w:tcW w:type="dxa" w:w="2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前台统一读取 current_active_version</w:t>
            </w:r>
          </w:p>
        </w:tc>
        <w:tc>
          <w:tcPr>
            <w:tcW w:type="dxa" w:w="54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首页、目录、学校页、搜索、列表和详情必须基于同一个生效版本读取，禁止页面间批次不一致。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R-005</w:t>
            </w:r>
          </w:p>
        </w:tc>
        <w:tc>
          <w:tcPr>
            <w:tcW w:type="dxa" w:w="2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同步与对象构建严格分离</w:t>
            </w:r>
          </w:p>
        </w:tc>
        <w:tc>
          <w:tcPr>
            <w:tcW w:type="dxa" w:w="54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同步阶段只负责拉取与留存原始数据；对象构建阶段负责生成 School / Talent / Role / Stat / Search Projection 等前台对象。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R-006</w:t>
            </w:r>
          </w:p>
        </w:tc>
        <w:tc>
          <w:tcPr>
            <w:tcW w:type="dxa" w:w="2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失败批次不得切为生效版本</w:t>
            </w:r>
          </w:p>
        </w:tc>
        <w:tc>
          <w:tcPr>
            <w:tcW w:type="dxa" w:w="54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同步失败、构建失败、统计快照失败或搜索投影失败时，前台继续读取上一版成功版本。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R-007</w:t>
            </w:r>
          </w:p>
        </w:tc>
        <w:tc>
          <w:tcPr>
            <w:tcW w:type="dxa" w:w="2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统计口径保持一致</w:t>
            </w:r>
          </w:p>
        </w:tc>
        <w:tc>
          <w:tcPr>
            <w:tcW w:type="dxa" w:w="54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首页高校数、教授数、学生数，学校页教授 / 学生人数，以及人才列表结果总数，必须建立在当前生效版本 + 权限过滤后 + 去重后的统一口径上。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R-008</w:t>
            </w:r>
          </w:p>
        </w:tc>
        <w:tc>
          <w:tcPr>
            <w:tcW w:type="dxa" w:w="2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统计优先读取快照</w:t>
            </w:r>
          </w:p>
        </w:tc>
        <w:tc>
          <w:tcPr>
            <w:tcW w:type="dxa" w:w="54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首页与学校页优先读取统计快照，不在页面访问时实时全量聚合。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R-009</w:t>
            </w:r>
          </w:p>
        </w:tc>
        <w:tc>
          <w:tcPr>
            <w:tcW w:type="dxa" w:w="2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角色四分类固定</w:t>
            </w:r>
          </w:p>
        </w:tc>
        <w:tc>
          <w:tcPr>
            <w:tcW w:type="dxa" w:w="54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第一阶段角色统一使用：教授 / 教师科研人员、在读学生、已毕业学生、待确认。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R-010</w:t>
            </w:r>
          </w:p>
        </w:tc>
        <w:tc>
          <w:tcPr>
            <w:tcW w:type="dxa" w:w="2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角色识别遵循保守原则</w:t>
            </w:r>
          </w:p>
        </w:tc>
        <w:tc>
          <w:tcPr>
            <w:tcW w:type="dxa" w:w="54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能确认则确认，不能确认则待确认；不允许为追求完整性而强行误标角色。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R-011</w:t>
            </w:r>
          </w:p>
        </w:tc>
        <w:tc>
          <w:tcPr>
            <w:tcW w:type="dxa" w:w="2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搜索入口固定为三类关键字</w:t>
            </w:r>
          </w:p>
        </w:tc>
        <w:tc>
          <w:tcPr>
            <w:tcW w:type="dxa" w:w="54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第一阶段只支持姓名、学校、技术方向 / 研究方向关键词搜索。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R-012</w:t>
            </w:r>
          </w:p>
        </w:tc>
        <w:tc>
          <w:tcPr>
            <w:tcW w:type="dxa" w:w="2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搜索执行流程固定</w:t>
            </w:r>
          </w:p>
        </w:tc>
        <w:tc>
          <w:tcPr>
            <w:tcW w:type="dxa" w:w="54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命中候选 → 权限过滤 → 排序 → 分页；禁止先分页再做权限过滤。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R-013</w:t>
            </w:r>
          </w:p>
        </w:tc>
        <w:tc>
          <w:tcPr>
            <w:tcW w:type="dxa" w:w="2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浏览主路径固定为国家 → 学校</w:t>
            </w:r>
          </w:p>
        </w:tc>
        <w:tc>
          <w:tcPr>
            <w:tcW w:type="dxa" w:w="54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学校是第一阶段主浏览粒度；学院 / 实验室只做预留，不进入主导航。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R-014</w:t>
            </w:r>
          </w:p>
        </w:tc>
        <w:tc>
          <w:tcPr>
            <w:tcW w:type="dxa" w:w="2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学校介绍缺失不阻断上线</w:t>
            </w:r>
          </w:p>
        </w:tc>
        <w:tc>
          <w:tcPr>
            <w:tcW w:type="dxa" w:w="54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学校介绍缺失时展示“信息待补充”，但仍允许进入学校页和人才列表。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R-015</w:t>
            </w:r>
          </w:p>
        </w:tc>
        <w:tc>
          <w:tcPr>
            <w:tcW w:type="dxa" w:w="2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主页面必须具备四类状态</w:t>
            </w:r>
          </w:p>
        </w:tc>
        <w:tc>
          <w:tcPr>
            <w:tcW w:type="dxa" w:w="54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B53"/>
                <w:sz w:val="18"/>
              </w:rPr>
              <w:t>所有主页面必须完整支持加载态、空态、异常态、无权限态，不允许用空白页代替异常反馈。</w:t>
            </w:r>
          </w:p>
        </w:tc>
      </w:tr>
    </w:tbl>
    <w:p/>
    <w:p>
      <w:pPr>
        <w:pStyle w:val="Heading1"/>
        <w:spacing w:before="160" w:after="80" w:line="276" w:lineRule="auto"/>
      </w:pPr>
      <w:r>
        <w:rPr>
          <w:rFonts w:ascii="Noto Sans CJK SC" w:hAnsi="Noto Sans CJK SC" w:eastAsia="Noto Sans CJK SC" w:cs="Noto Sans CJK SC"/>
        </w:rPr>
        <w:t>4. 页面与对象最小展示口径</w:t>
      </w:r>
    </w:p>
    <w:p>
      <w:pPr>
        <w:spacing w:before="0" w:after="80" w:line="324" w:lineRule="auto"/>
      </w:pPr>
      <w:r>
        <w:rPr>
          <w:rFonts w:ascii="Noto Sans CJK SC" w:hAnsi="Noto Sans CJK SC" w:eastAsia="Noto Sans CJK SC" w:cs="Noto Sans CJK SC"/>
          <w:sz w:val="21"/>
        </w:rPr>
        <w:t>学校目录最小展示字段冻结为：学校名称、国家 / 地区、简介摘要、教授人数、学生人数与进入学校页入口。学校卡片不做过多信息堆叠，以保证秩序和可读性。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 w:cs="Noto Sans CJK SC"/>
          <w:sz w:val="21"/>
        </w:rPr>
        <w:t>人才列表最小展示字段冻结为：姓名、当前角色、当前学校、技术方向标签、代表成果摘要、最近活跃提示。教授视图偏卡片，学生视图偏表格，二者均使用统一 role profile 结果，不允许各页面自行重新推断角色。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 w:cs="Noto Sans CJK SC"/>
          <w:sz w:val="21"/>
        </w:rPr>
        <w:t>人才详情页以“帮助继续跟进判断”为目标，展示 Talent 主对象、Role Profile、代表成果与基础关系摘要；第一阶段不强制实现复杂图谱可视化。</w:t>
      </w:r>
    </w:p>
    <w:p>
      <w:pPr>
        <w:pStyle w:val="Heading1"/>
        <w:spacing w:before="160" w:after="80" w:line="276" w:lineRule="auto"/>
      </w:pPr>
      <w:r>
        <w:rPr>
          <w:rFonts w:ascii="Noto Sans CJK SC" w:hAnsi="Noto Sans CJK SC" w:eastAsia="Noto Sans CJK SC" w:cs="Noto Sans CJK SC"/>
        </w:rPr>
        <w:t>5. 暂缓冻结、边开发边补齐的规则</w:t>
      </w:r>
    </w:p>
    <w:p>
      <w:pPr>
        <w:spacing w:before="0" w:after="80" w:line="324" w:lineRule="auto"/>
      </w:pPr>
      <w:r>
        <w:rPr>
          <w:rFonts w:ascii="Noto Sans CJK SC" w:hAnsi="Noto Sans CJK SC" w:eastAsia="Noto Sans CJK SC" w:cs="Noto Sans CJK SC"/>
          <w:sz w:val="21"/>
        </w:rPr>
        <w:t>下列内容不阻塞第一轮开发启动，但应在 Iteration 2 / 3 前补成正式版本：研究方向 taxonomy、成果质量分层、活跃度计算窗口与权重、基础排序权重、TOP 候选人入池标准、导出字段模板、学校国家归类疑难样例清单、角色识别细化规则（如博士后、访问学者等）。</w:t>
      </w:r>
    </w:p>
    <w:p>
      <w:pPr>
        <w:pStyle w:val="Heading1"/>
        <w:spacing w:before="160" w:after="80" w:line="276" w:lineRule="auto"/>
      </w:pPr>
      <w:r>
        <w:rPr>
          <w:rFonts w:ascii="Noto Sans CJK SC" w:hAnsi="Noto Sans CJK SC" w:eastAsia="Noto Sans CJK SC" w:cs="Noto Sans CJK SC"/>
        </w:rPr>
        <w:t>6. 变更控制</w:t>
      </w:r>
    </w:p>
    <w:p>
      <w:pPr>
        <w:spacing w:before="0" w:after="80" w:line="324" w:lineRule="auto"/>
      </w:pPr>
      <w:r>
        <w:rPr>
          <w:rFonts w:ascii="Noto Sans CJK SC" w:hAnsi="Noto Sans CJK SC" w:eastAsia="Noto Sans CJK SC" w:cs="Noto Sans CJK SC"/>
          <w:sz w:val="21"/>
        </w:rPr>
        <w:t>本文件发布后，凡涉及权限口径、统计口径、角色分类、搜索入口、浏览主路径、版本生效规则等核心规则的调整，均须由项目 Owner 审核并显式记录。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 w:cs="Noto Sans CJK SC"/>
          <w:sz w:val="21"/>
        </w:rPr>
        <w:t>AI 协同开发过程中不得擅自新增或改写业务规则；发现规则缺口时，应以问题清单或待决事项形式反馈，而非自行扩展。</w:t>
      </w:r>
    </w:p>
    <w:p>
      <w:pPr>
        <w:pStyle w:val="Heading1"/>
        <w:spacing w:before="160" w:after="80" w:line="276" w:lineRule="auto"/>
      </w:pPr>
      <w:r>
        <w:rPr>
          <w:rFonts w:ascii="Noto Sans CJK SC" w:hAnsi="Noto Sans CJK SC" w:eastAsia="Noto Sans CJK SC" w:cs="Noto Sans CJK SC"/>
        </w:rPr>
        <w:t>7. 结论</w:t>
      </w:r>
    </w:p>
    <w:p>
      <w:pPr>
        <w:spacing w:before="0" w:after="80" w:line="324" w:lineRule="auto"/>
      </w:pPr>
      <w:r>
        <w:rPr>
          <w:rFonts w:ascii="Noto Sans CJK SC" w:hAnsi="Noto Sans CJK SC" w:eastAsia="Noto Sans CJK SC" w:cs="Noto Sans CJK SC"/>
          <w:sz w:val="21"/>
        </w:rPr>
        <w:t>第一阶段学术人才子系统 MVP 核心业务规则正式冻结为：</w:t>
      </w:r>
      <w:r>
        <w:rPr>
          <w:rFonts w:ascii="Noto Sans CJK SC" w:hAnsi="Noto Sans CJK SC" w:eastAsia="Noto Sans CJK SC" w:cs="Noto Sans CJK SC"/>
          <w:b/>
          <w:sz w:val="21"/>
        </w:rPr>
        <w:t>学校为最小授权对象、权限在服务端统一生效、前台统一读取 current_active_version、统计快照口径一致、角色采用四分类、搜索仅支持三类关键字、浏览主路径固定为国家 → 学校、所有主页面必须支持加载态 / 空态 / 异常态 / 无权限态</w:t>
      </w:r>
      <w:r>
        <w:rPr>
          <w:rFonts w:ascii="Noto Sans CJK SC" w:hAnsi="Noto Sans CJK SC" w:eastAsia="Noto Sans CJK SC" w:cs="Noto Sans CJK SC"/>
          <w:sz w:val="21"/>
        </w:rPr>
        <w:t>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 w:cs="Noto Sans CJK SC"/>
          <w:sz w:val="21"/>
        </w:rPr>
        <w:t>本冻结结论自发布之日起，作为第一轮开发、测试与验收的正式规则基线。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32" w:bottom="1134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color w:val="787878"/>
        <w:sz w:val="16"/>
      </w:rPr>
      <w:t>内部项目文档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 w:cs="Noto Sans CJK SC"/>
        <w:color w:val="646E78"/>
        <w:sz w:val="17"/>
      </w:rPr>
      <w:t>智能人才库项目｜规则冻结单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3B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34E6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8658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43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