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rPr/>
        <w:t xml:space="preserve">Astana IT University · Web Technologies</w:t>
      </w:r>
    </w:p>
    <w:p>
      <w:pPr>
        <w:pStyle w:val="Title"/>
      </w:pPr>
      <w:r>
        <w:rPr/>
        <w:t xml:space="preserve">Advanced CSS.</w:t>
      </w:r>
      <w:r>
        <w:br/>
      </w:r>
      <w:r>
        <w:rPr/>
        <w:t xml:space="preserve">Flexbox &amp; Grid.</w:t>
      </w:r>
    </w:p>
    <w:p>
      <w:pPr>
        <w:pStyle w:val="Normal"/>
      </w:pPr>
      <w:r>
        <w:rPr/>
        <w:t xml:space="preserve">Assignment 2 · AKYL GROUP</w:t>
      </w:r>
    </w:p>
    <w:p>
      <w:pPr>
        <w:pStyle w:val="Normal"/>
      </w:pPr>
      <w:r>
        <w:rPr>
          <w:b/>
        </w:rPr>
        <w:t xml:space="preserve">Student:</w:t>
      </w:r>
      <w:r>
        <w:rPr/>
        <w:t xml:space="preserve"> Jomart Akylbek</w:t>
      </w:r>
      <w:r>
        <w:br/>
      </w:r>
      <w:r>
        <w:rPr>
          <w:b/>
        </w:rPr>
        <w:t xml:space="preserve">Group:</w:t>
      </w:r>
      <w:r>
        <w:rPr/>
        <w:t xml:space="preserve"> IT2507</w:t>
      </w:r>
      <w:r>
        <w:br/>
      </w:r>
      <w:r>
        <w:rPr>
          <w:b/>
        </w:rPr>
        <w:t xml:space="preserve">Date:</w:t>
      </w:r>
      <w:r>
        <w:rPr/>
        <w:t xml:space="preserve"> 27 September 2026</w:t>
      </w:r>
    </w:p>
    <w:p>
      <w:pPr>
        <w:pStyle w:val="Heading2"/>
      </w:pPr>
      <w:r>
        <w:rPr/>
        <w:t xml:space="preserve">Project overview</w:t>
      </w:r>
    </w:p>
    <w:p>
      <w:pPr>
        <w:pStyle w:val="Normal"/>
      </w:pPr>
      <w:r>
        <w:rPr/>
        <w:t xml:space="preserve">The assignment extends the existing real-estate website with three exercises: a geometric composition, a component library and an editorial page with three layouts. The new pages share a green palette, typography and spacing.</w:t>
      </w:r>
    </w:p>
    <w:p>
      <w:pPr>
        <w:pStyle w:val="Normal"/>
      </w:pPr>
      <w:r>
        <w:rPr/>
        <w:t xml:space="preserve">The implementation uses HTML and external CSS. There is no JavaScript, Bootstrap or media query in the assignment pages. Layouts adapt using fluid sizing, wrapping and intrinsic content sizes.</w:t>
      </w:r>
    </w:p>
    <w:p>
      <w:pPr>
        <w:pStyle w:val="Heading2"/>
      </w:pPr>
      <w:r>
        <w:rPr/>
        <w:t xml:space="preserve">Source code</w:t>
      </w:r>
    </w:p>
    <w:p>
      <w:pPr>
        <w:pStyle w:val="Normal"/>
      </w:pPr>
      <w:hyperlink r:id="rIdLink0">
        <w:r>
          <w:rPr/>
          <w:t xml:space="preserve">https://github.com/akylzhomart699-spec/Assigment2</w:t>
        </w:r>
      </w:hyperlink>
      <w:r>
        <w:br/>
      </w:r>
      <w:r>
        <w:rPr/>
        <w:t xml:space="preserve">Assignment directory: </w:t>
      </w:r>
      <w:r>
        <w:rPr>
          <w:rFonts w:ascii="Consolas" w:hAnsi="Consolas"/>
          <w:sz w:val="19"/>
        </w:rPr>
        <w:t xml:space="preserve">assignment2/</w:t>
      </w:r>
    </w:p>
    <w:p>
      <w:pPr>
        <w:pStyle w:val="Normal"/>
      </w:pPr>
      <w:hyperlink r:id="rIdLink1">
        <w:r>
          <w:rPr/>
          <w:t xml:space="preserve">https://akylzhomart699-spec.github.io/Assigment2/</w:t>
        </w:r>
      </w:hyperlink>
    </w:p>
    <w:p>
      <w:pPr>
        <w:pStyle w:val="Heading2"/>
      </w:pPr>
      <w:r>
        <w:rPr/>
        <w:t xml:space="preserve">Contents</w:t>
      </w:r>
    </w:p>
    <w:p>
      <w:pPr>
        <w:pStyle w:val="Normal"/>
      </w:pPr>
      <w:r>
        <w:rPr/>
        <w:t xml:space="preserve">1. Geometric composition and key CSS</w:t>
      </w:r>
      <w:r>
        <w:br/>
      </w:r>
      <w:r>
        <w:rPr/>
        <w:t xml:space="preserve">2. Five Flexbox components and key CSS</w:t>
      </w:r>
      <w:r>
        <w:br/>
      </w:r>
      <w:r>
        <w:rPr/>
        <w:t xml:space="preserve">3. Three layouts with identical markup and key CSS</w:t>
      </w:r>
      <w:r>
        <w:br/>
      </w:r>
      <w:r>
        <w:rPr/>
        <w:t xml:space="preserve">4. Responsive checks and conclusion</w:t>
      </w:r>
    </w:p>
    <w:p>
      <w:r>
        <w:br w:type="page"/>
      </w:r>
    </w:p>
    <w:p>
      <w:pPr>
        <w:pStyle w:val="Subtitle"/>
      </w:pPr>
      <w:r>
        <w:rPr/>
        <w:t xml:space="preserve">Task 1 · Result</w:t>
      </w:r>
    </w:p>
    <w:p>
      <w:pPr>
        <w:pStyle w:val="Heading1"/>
      </w:pPr>
      <w:r>
        <w:rPr/>
        <w:t xml:space="preserve">One grid, seven blocks.</w:t>
      </w:r>
    </w:p>
    <w:p>
      <w:pPr>
        <w:pStyle w:val="Normal"/>
      </w:pPr>
      <w:r>
        <w:rPr/>
        <w:t xml:space="preserve">A single Grid container has six equal columns and six equal rows. Each colored block occupies the cells required by the supplied drawing.</w:t>
      </w:r>
    </w:p>
    <w:p>
      <w:pPr>
        <w:jc w:val="center"/>
        <w:keepNext/>
      </w:pPr>
      <w:r>
        <w:drawing>
          <wp:inline distT="0" distB="0" distL="0" distR="0">
            <wp:extent cx="4663440" cy="4663440"/>
            <wp:docPr id="1" name="Image 1" descr="Rendered geometric 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1. Browser screenshot of the implemented composition.</w:t>
      </w:r>
    </w:p>
    <w:tbl>
      <w:tblPr>
        <w:tblW w:w="5000" w:type="pct"/>
        <w:tblBorders>
          <w:bottom w:val="single" w:sz="4" w:color="D7DFD5"/>
          <w:insideH w:val="single" w:sz="4" w:color="D7DFD5"/>
        </w:tblBorders>
      </w:tblPr>
      <w:tr>
        <w:trPr>
          <w:cantSplit/>
        </w:trPr>
        <w:tc>
          <w:tcPr>
            <w:shd w:fill="EDF3E9"/>
          </w:tcPr>
          <w:p>
            <w:pPr>
              <w:pStyle w:val="TableText"/>
            </w:pPr>
            <w:r>
              <w:rPr/>
              <w:t xml:space="preserve">Block</w:t>
            </w:r>
          </w:p>
        </w:tc>
        <w:tc>
          <w:tcPr>
            <w:shd w:fill="EDF3E9"/>
          </w:tcPr>
          <w:p>
            <w:pPr>
              <w:pStyle w:val="TableText"/>
            </w:pPr>
            <w:r>
              <w:rPr/>
              <w:t xml:space="preserve">Rows occupied</w:t>
            </w:r>
          </w:p>
        </w:tc>
        <w:tc>
          <w:tcPr>
            <w:shd w:fill="EDF3E9"/>
          </w:tcPr>
          <w:p>
            <w:pPr>
              <w:pStyle w:val="TableText"/>
            </w:pPr>
            <w:r>
              <w:rPr/>
              <w:t xml:space="preserve">Columns occupied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Blue</w:t>
            </w:r>
          </w:p>
        </w:tc>
        <w:tc>
          <w:tcPr/>
          <w:p>
            <w:pPr>
              <w:pStyle w:val="TableText"/>
            </w:pPr>
            <w:r>
              <w:rPr/>
              <w:t xml:space="preserve">1–3</w:t>
            </w:r>
          </w:p>
        </w:tc>
        <w:tc>
          <w:tcPr/>
          <w:p>
            <w:pPr>
              <w:pStyle w:val="TableText"/>
            </w:pPr>
            <w:r>
              <w:rPr/>
              <w:t xml:space="preserve">1–2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Top white</w:t>
            </w:r>
          </w:p>
        </w:tc>
        <w:tc>
          <w:tcPr/>
          <w:p>
            <w:pPr>
              <w:pStyle w:val="TableText"/>
            </w:pPr>
            <w:r>
              <w:rPr/>
              <w:t xml:space="preserve">1</w:t>
            </w:r>
          </w:p>
        </w:tc>
        <w:tc>
          <w:tcPr/>
          <w:p>
            <w:pPr>
              <w:pStyle w:val="TableText"/>
            </w:pPr>
            <w:r>
              <w:rPr/>
              <w:t xml:space="preserve">3–6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Yellow</w:t>
            </w:r>
          </w:p>
        </w:tc>
        <w:tc>
          <w:tcPr/>
          <w:p>
            <w:pPr>
              <w:pStyle w:val="TableText"/>
            </w:pPr>
            <w:r>
              <w:rPr/>
              <w:t xml:space="preserve">2–3</w:t>
            </w:r>
          </w:p>
        </w:tc>
        <w:tc>
          <w:tcPr/>
          <w:p>
            <w:pPr>
              <w:pStyle w:val="TableText"/>
            </w:pPr>
            <w:r>
              <w:rPr/>
              <w:t xml:space="preserve">3–4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Right white</w:t>
            </w:r>
          </w:p>
        </w:tc>
        <w:tc>
          <w:tcPr/>
          <w:p>
            <w:pPr>
              <w:pStyle w:val="TableText"/>
            </w:pPr>
            <w:r>
              <w:rPr/>
              <w:t xml:space="preserve">2–4</w:t>
            </w:r>
          </w:p>
        </w:tc>
        <w:tc>
          <w:tcPr/>
          <w:p>
            <w:pPr>
              <w:pStyle w:val="TableText"/>
            </w:pPr>
            <w:r>
              <w:rPr/>
              <w:t xml:space="preserve">5–6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Red</w:t>
            </w:r>
          </w:p>
        </w:tc>
        <w:tc>
          <w:tcPr/>
          <w:p>
            <w:pPr>
              <w:pStyle w:val="TableText"/>
            </w:pPr>
            <w:r>
              <w:rPr/>
              <w:t xml:space="preserve">4–6</w:t>
            </w:r>
          </w:p>
        </w:tc>
        <w:tc>
          <w:tcPr/>
          <w:p>
            <w:pPr>
              <w:pStyle w:val="TableText"/>
            </w:pPr>
            <w:r>
              <w:rPr/>
              <w:t xml:space="preserve">1–3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Black</w:t>
            </w:r>
          </w:p>
        </w:tc>
        <w:tc>
          <w:tcPr/>
          <w:p>
            <w:pPr>
              <w:pStyle w:val="TableText"/>
            </w:pPr>
            <w:r>
              <w:rPr/>
              <w:t xml:space="preserve">4–6</w:t>
            </w:r>
          </w:p>
        </w:tc>
        <w:tc>
          <w:tcPr/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Bottom white</w:t>
            </w:r>
          </w:p>
        </w:tc>
        <w:tc>
          <w:tcPr/>
          <w:p>
            <w:pPr>
              <w:pStyle w:val="TableText"/>
            </w:pPr>
            <w:r>
              <w:rPr/>
              <w:t xml:space="preserve">5–6</w:t>
            </w:r>
          </w:p>
        </w:tc>
        <w:tc>
          <w:tcPr/>
          <w:p>
            <w:pPr>
              <w:pStyle w:val="TableText"/>
            </w:pPr>
            <w:r>
              <w:rPr/>
              <w:t xml:space="preserve">5–6</w:t>
            </w:r>
          </w:p>
        </w:tc>
      </w:tr>
    </w:tbl>
    <w:p/>
    <w:p>
      <w:r>
        <w:br w:type="page"/>
      </w:r>
    </w:p>
    <w:p>
      <w:pPr>
        <w:pStyle w:val="Subtitle"/>
      </w:pPr>
      <w:r>
        <w:rPr/>
        <w:t xml:space="preserve">Task 1 · Implementation</w:t>
      </w:r>
    </w:p>
    <w:p>
      <w:pPr>
        <w:pStyle w:val="Heading1"/>
      </w:pPr>
      <w:r>
        <w:rPr/>
        <w:t xml:space="preserve">Proportions that scale.</w:t>
      </w:r>
    </w:p>
    <w:p>
      <w:pPr>
        <w:jc w:val="center"/>
        <w:keepNext/>
      </w:pPr>
      <w:r>
        <w:drawing>
          <wp:inline distT="0" distB="0" distL="0" distR="0">
            <wp:extent cx="5181600" cy="4663440"/>
            <wp:docPr id="2" name="Image 2" descr="Screenshot of key composition CSS decla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2. Key declarations from composition.css; block colors omitted.</w:t>
      </w:r>
    </w:p>
    <w:p>
      <w:pPr>
        <w:pStyle w:val="Normal"/>
      </w:pPr>
      <w:r>
        <w:rPr>
          <w:rFonts w:ascii="Consolas" w:hAnsi="Consolas"/>
          <w:sz w:val="19"/>
        </w:rPr>
        <w:t xml:space="preserve">aspect-ratio: 1</w:t>
      </w:r>
      <w:r>
        <w:rPr/>
        <w:t xml:space="preserve"> keeps the composition square. Its width is limited to the smaller of the available space and </w:t>
      </w:r>
      <w:r>
        <w:rPr>
          <w:rFonts w:ascii="Consolas" w:hAnsi="Consolas"/>
          <w:sz w:val="19"/>
        </w:rPr>
        <w:t xml:space="preserve">88vmin</w:t>
      </w:r>
      <w:r>
        <w:rPr/>
        <w:t xml:space="preserve">, so the square cannot become taller than the viewport.</w:t>
      </w:r>
    </w:p>
    <w:p>
      <w:pPr>
        <w:pStyle w:val="Normal"/>
      </w:pPr>
      <w:r>
        <w:rPr/>
        <w:t xml:space="preserve">The black container background is visible through the Grid gaps. The blocks do not use borders or margins to create internal lines. Matching container padding creates the outside frame.</w:t>
      </w:r>
    </w:p>
    <w:p>
      <w:pPr>
        <w:pStyle w:val="Normal"/>
      </w:pPr>
      <w:r>
        <w:rPr/>
        <w:t xml:space="preserve">The four numbers in </w:t>
      </w:r>
      <w:r>
        <w:rPr>
          <w:rFonts w:ascii="Consolas" w:hAnsi="Consolas"/>
          <w:sz w:val="19"/>
        </w:rPr>
        <w:t xml:space="preserve">grid-area</w:t>
      </w:r>
      <w:r>
        <w:rPr/>
        <w:t xml:space="preserve"> specify row start, column start, row end and column end. End lines are exclusive: the blue block ends at row line 4 and therefore covers three rows.</w:t>
      </w:r>
    </w:p>
    <w:p>
      <w:r>
        <w:br w:type="page"/>
      </w:r>
    </w:p>
    <w:p>
      <w:pPr>
        <w:pStyle w:val="Subtitle"/>
      </w:pPr>
      <w:r>
        <w:rPr/>
        <w:t xml:space="preserve">Task 2 · Components 1–2</w:t>
      </w:r>
    </w:p>
    <w:p>
      <w:pPr>
        <w:pStyle w:val="Heading1"/>
      </w:pPr>
      <w:r>
        <w:rPr/>
        <w:t xml:space="preserve">Navigation and cards.</w:t>
      </w:r>
    </w:p>
    <w:p>
      <w:pPr>
        <w:jc w:val="center"/>
        <w:keepNext/>
      </w:pPr>
      <w:r>
        <w:drawing>
          <wp:inline distT="0" distB="0" distL="0" distR="0">
            <wp:extent cx="6309360" cy="960875"/>
            <wp:docPr id="3" name="Image 3" descr="Navigation 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3. A logo, long links and a right-aligned action group.</w:t>
      </w:r>
    </w:p>
    <w:p>
      <w:pPr>
        <w:pStyle w:val="Normal"/>
      </w:pPr>
      <w:r>
        <w:rPr/>
        <w:t xml:space="preserve">The navigation is a wrapping Flexbox row. Links can grow, while an automatic start margin moves the action group to the right edge, including when it wraps.</w:t>
      </w:r>
    </w:p>
    <w:p>
      <w:pPr>
        <w:jc w:val="center"/>
        <w:keepNext/>
      </w:pPr>
      <w:r>
        <w:drawing>
          <wp:inline distT="0" distB="0" distL="0" distR="0">
            <wp:extent cx="6309360" cy="3388995"/>
            <wp:docPr id="4" name="Image 4" descr="Three equal-height property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4. Different description lengths, equal card heights and aligned buttons.</w:t>
      </w:r>
    </w:p>
    <w:p>
      <w:pPr>
        <w:pStyle w:val="Normal"/>
      </w:pPr>
      <w:r>
        <w:rPr/>
        <w:t xml:space="preserve">Cards stretch to the height of the tallest card in each row. Each card body is a growing vertical Flexbox container. The button's automatic top margin consumes unused space, so all buttons align without a fixed card height.</w:t>
      </w:r>
    </w:p>
    <w:p>
      <w:r>
        <w:br w:type="page"/>
      </w:r>
    </w:p>
    <w:p>
      <w:pPr>
        <w:pStyle w:val="Subtitle"/>
      </w:pPr>
      <w:r>
        <w:rPr/>
        <w:t xml:space="preserve">Task 2 · Components 3–5</w:t>
      </w:r>
    </w:p>
    <w:p>
      <w:pPr>
        <w:pStyle w:val="Heading1"/>
      </w:pPr>
      <w:r>
        <w:rPr/>
        <w:t xml:space="preserve">Small details, flexible layouts.</w:t>
      </w:r>
    </w:p>
    <w:p>
      <w:pPr>
        <w:jc w:val="center"/>
        <w:keepNext/>
      </w:pPr>
      <w:r>
        <w:drawing>
          <wp:inline distT="0" distB="0" distL="0" distR="0">
            <wp:extent cx="6309360" cy="880110"/>
            <wp:docPr id="5" name="Image 5" descr="Centered pagination with count at r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5. Centered page links and a right-aligned result count.</w:t>
      </w:r>
    </w:p>
    <w:p>
      <w:pPr>
        <w:pStyle w:val="Normal"/>
      </w:pPr>
      <w:r>
        <w:rPr/>
        <w:t xml:space="preserve">Equal flexible regions on both sides center the page controls. The result count occupies the right region; the parts may wrap on narrow screens.</w:t>
      </w:r>
    </w:p>
    <w:p>
      <w:pPr>
        <w:jc w:val="center"/>
        <w:keepNext/>
      </w:pPr>
      <w:r>
        <w:drawing>
          <wp:inline distT="0" distB="0" distL="0" distR="0">
            <wp:extent cx="6309360" cy="1137285"/>
            <wp:docPr id="6" name="Image 6" descr="Comment text alongside avat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6. Text remains beside the avatar.</w:t>
      </w:r>
    </w:p>
    <w:p>
      <w:pPr>
        <w:pStyle w:val="Normal"/>
      </w:pPr>
      <w:r>
        <w:rPr/>
        <w:t xml:space="preserve">The avatar does not shrink. The text has its own flexible child with a zero minimum inline size and long-word wrapping, so it never flows underneath the avatar.</w:t>
      </w:r>
    </w:p>
    <w:p>
      <w:pPr>
        <w:jc w:val="center"/>
        <w:keepNext/>
      </w:pPr>
      <w:r>
        <w:drawing>
          <wp:inline distT="0" distB="0" distL="0" distR="0">
            <wp:extent cx="6309360" cy="3246120"/>
            <wp:docPr id="7" name="Image 7" descr="Three plans with taller recommended middle p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7. The recommended plan is naturally taller than its neighbors.</w:t>
      </w:r>
    </w:p>
    <w:p>
      <w:pPr>
        <w:pStyle w:val="Normal"/>
      </w:pPr>
      <w:r>
        <w:rPr/>
        <w:t xml:space="preserve">The pricing row vertically centers its cards. The middle card has an extra badge, feature and vertical padding; its height comes from content rather than a fixed value.</w:t>
      </w:r>
    </w:p>
    <w:p>
      <w:r>
        <w:br w:type="page"/>
      </w:r>
    </w:p>
    <w:p>
      <w:pPr>
        <w:pStyle w:val="Subtitle"/>
      </w:pPr>
      <w:r>
        <w:rPr/>
        <w:t xml:space="preserve">Task 2 · Key CSS, part 1</w:t>
      </w:r>
    </w:p>
    <w:p>
      <w:pPr>
        <w:pStyle w:val="Heading1"/>
      </w:pPr>
      <w:r>
        <w:rPr/>
        <w:t xml:space="preserve">Wrapping and alignment.</w:t>
      </w:r>
    </w:p>
    <w:p>
      <w:pPr>
        <w:jc w:val="center"/>
        <w:keepNext/>
      </w:pPr>
      <w:r>
        <w:drawing>
          <wp:inline distT="0" distB="0" distL="0" distR="0">
            <wp:extent cx="5181600" cy="4663440"/>
            <wp:docPr id="8" name="Image 8" descr="Screenshot of key navigation and card C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8. Layout declarations from components.css.</w:t>
      </w:r>
    </w:p>
    <w:p>
      <w:pPr>
        <w:pStyle w:val="Normal"/>
      </w:pPr>
      <w:r>
        <w:rPr>
          <w:rFonts w:ascii="Consolas" w:hAnsi="Consolas"/>
          <w:sz w:val="19"/>
        </w:rPr>
        <w:t xml:space="preserve">flex: 1 1 17rem</w:t>
      </w:r>
      <w:r>
        <w:rPr/>
        <w:t xml:space="preserve"> is a flexible preferred size: cards may grow or shrink. It is not a fixed width. </w:t>
      </w:r>
      <w:r>
        <w:rPr>
          <w:rFonts w:ascii="Consolas" w:hAnsi="Consolas"/>
          <w:sz w:val="19"/>
        </w:rPr>
        <w:t xml:space="preserve">align-items: stretch</w:t>
      </w:r>
      <w:r>
        <w:rPr/>
        <w:t xml:space="preserve"> equalizes heights within each row.</w:t>
      </w:r>
    </w:p>
    <w:p>
      <w:pPr>
        <w:pStyle w:val="Normal"/>
      </w:pPr>
      <w:r>
        <w:rPr/>
        <w:t xml:space="preserve">All five components share </w:t>
      </w:r>
      <w:r>
        <w:rPr>
          <w:rFonts w:ascii="Consolas" w:hAnsi="Consolas"/>
          <w:sz w:val="19"/>
        </w:rPr>
        <w:t xml:space="preserve">shared.css</w:t>
      </w:r>
      <w:r>
        <w:rPr/>
        <w:t xml:space="preserve"> for design tokens and </w:t>
      </w:r>
      <w:r>
        <w:rPr>
          <w:rFonts w:ascii="Consolas" w:hAnsi="Consolas"/>
          <w:sz w:val="19"/>
        </w:rPr>
        <w:t xml:space="preserve">components.css</w:t>
      </w:r>
      <w:r>
        <w:rPr/>
        <w:t xml:space="preserve"> for their layout rules. Grid, floats and fixed layout widths or heights are not used in these components. Only the avatar has a fixed size.</w:t>
      </w:r>
    </w:p>
    <w:p>
      <w:r>
        <w:br w:type="page"/>
      </w:r>
    </w:p>
    <w:p>
      <w:pPr>
        <w:pStyle w:val="Subtitle"/>
      </w:pPr>
      <w:r>
        <w:rPr/>
        <w:t xml:space="preserve">Task 2 · Key CSS, part 2</w:t>
      </w:r>
    </w:p>
    <w:p>
      <w:pPr>
        <w:pStyle w:val="Heading1"/>
      </w:pPr>
      <w:r>
        <w:rPr/>
        <w:t xml:space="preserve">Let content set the size.</w:t>
      </w:r>
    </w:p>
    <w:p>
      <w:pPr>
        <w:jc w:val="center"/>
        <w:keepNext/>
      </w:pPr>
      <w:r>
        <w:drawing>
          <wp:inline distT="0" distB="0" distL="0" distR="0">
            <wp:extent cx="5181600" cy="4663440"/>
            <wp:docPr id="9" name="Image 9" descr="Screenshot of pagination comment and pricing C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9. The remaining Flexbox layout declarations.</w:t>
      </w:r>
    </w:p>
    <w:p>
      <w:pPr>
        <w:pStyle w:val="Normal"/>
      </w:pPr>
      <w:r>
        <w:rPr/>
        <w:t xml:space="preserve">The pagination's empty pseudo-element balances the result count on wide screens. The comment uses separate avatar and text flex items. Pricing uses natural heights and center alignment.</w:t>
      </w:r>
    </w:p>
    <w:p>
      <w:pPr>
        <w:pStyle w:val="Normal"/>
      </w:pPr>
      <w:r>
        <w:rPr/>
        <w:t xml:space="preserve">Shared spacing variables keep gaps and padding consistent. Colors, fonts and button styles are reused rather than restyled independently for each exercise.</w:t>
      </w:r>
    </w:p>
    <w:p>
      <w:r>
        <w:br w:type="page"/>
      </w:r>
    </w:p>
    <w:p>
      <w:pPr>
        <w:pStyle w:val="Subtitle"/>
      </w:pPr>
      <w:r>
        <w:rPr/>
        <w:t xml:space="preserve">Task 3 · Card grid</w:t>
      </w:r>
    </w:p>
    <w:p>
      <w:pPr>
        <w:pStyle w:val="Heading1"/>
      </w:pPr>
      <w:r>
        <w:rPr/>
        <w:t xml:space="preserve">Twelve stories, one markup.</w:t>
      </w:r>
    </w:p>
    <w:p>
      <w:pPr>
        <w:pStyle w:val="Normal"/>
      </w:pPr>
      <w:r>
        <w:rPr/>
        <w:t xml:space="preserve">The page contains twelve articles with different title and description lengths. Each article contains an image, a text body and a date.</w:t>
      </w:r>
    </w:p>
    <w:p>
      <w:pPr>
        <w:jc w:val="center"/>
        <w:keepNext/>
      </w:pPr>
      <w:r>
        <w:drawing>
          <wp:inline distT="0" distB="0" distL="0" distR="0">
            <wp:extent cx="5647944" cy="4663440"/>
            <wp:docPr id="10" name="Image 10" descr="Desktop grid layout excer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647944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10. Upper portion of the card-grid view at a 1200 px viewport.</w:t>
      </w:r>
    </w:p>
    <w:p>
      <w:pPr>
        <w:pStyle w:val="Normal"/>
      </w:pPr>
      <w:r>
        <w:rPr>
          <w:b/>
        </w:rPr>
        <w:t xml:space="preserve">Tool:</w:t>
      </w:r>
      <w:r>
        <w:rPr/>
        <w:t xml:space="preserve"> Grid uses </w:t>
      </w:r>
      <w:r>
        <w:rPr>
          <w:rFonts w:ascii="Consolas" w:hAnsi="Consolas"/>
          <w:sz w:val="19"/>
        </w:rPr>
        <w:t xml:space="preserve">repeat(auto-fit, minmax(min(100%, 19rem), 1fr))</w:t>
      </w:r>
      <w:r>
        <w:rPr/>
        <w:t xml:space="preserve"> to choose the column count, while Flexbox organizes each card's content vertically.</w:t>
      </w:r>
    </w:p>
    <w:p>
      <w:pPr>
        <w:pStyle w:val="Normal"/>
      </w:pPr>
      <w:r>
        <w:rPr/>
        <w:t xml:space="preserve">The inner </w:t>
      </w:r>
      <w:r>
        <w:rPr>
          <w:rFonts w:ascii="Consolas" w:hAnsi="Consolas"/>
          <w:sz w:val="19"/>
        </w:rPr>
        <w:t xml:space="preserve">min()</w:t>
      </w:r>
      <w:r>
        <w:rPr/>
        <w:t xml:space="preserve"> allows a track to fit a narrow container instead of forcing horizontal overflow.</w:t>
      </w:r>
    </w:p>
    <w:p>
      <w:r>
        <w:br w:type="page"/>
      </w:r>
    </w:p>
    <w:p>
      <w:pPr>
        <w:pStyle w:val="Subtitle"/>
      </w:pPr>
      <w:r>
        <w:rPr/>
        <w:t xml:space="preserve">Task 3 · Compact list</w:t>
      </w:r>
    </w:p>
    <w:p>
      <w:pPr>
        <w:pStyle w:val="Heading1"/>
      </w:pPr>
      <w:r>
        <w:rPr/>
        <w:t xml:space="preserve">The same stories, in rows.</w:t>
      </w:r>
    </w:p>
    <w:p>
      <w:pPr>
        <w:jc w:val="center"/>
        <w:keepNext/>
      </w:pPr>
      <w:r>
        <w:drawing>
          <wp:inline distT="0" distB="0" distL="0" distR="0">
            <wp:extent cx="5647944" cy="4663440"/>
            <wp:docPr id="11" name="Image 11" descr="Desktop list layout excer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647944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11. Upper portion of the compact-list view at a 1200 px viewport.</w:t>
      </w:r>
    </w:p>
    <w:p>
      <w:pPr>
        <w:pStyle w:val="Normal"/>
      </w:pPr>
      <w:r>
        <w:rPr>
          <w:b/>
        </w:rPr>
        <w:t xml:space="preserve">Tool:</w:t>
      </w:r>
      <w:r>
        <w:rPr/>
        <w:t xml:space="preserve"> A single-column Grid stacks the articles; inside each item, a horizontal Flexbox row places the image left, text in the middle and date at the right edge.</w:t>
      </w:r>
    </w:p>
    <w:p>
      <w:pPr>
        <w:pStyle w:val="Normal"/>
      </w:pPr>
      <w:r>
        <w:rPr/>
        <w:t xml:space="preserve">The image uses a proportional width. The body can shrink and wrap, while the date keeps a small readable area. No changes to the article HTML are needed.</w:t>
      </w:r>
    </w:p>
    <w:p>
      <w:r>
        <w:br w:type="page"/>
      </w:r>
    </w:p>
    <w:p>
      <w:pPr>
        <w:pStyle w:val="Subtitle"/>
      </w:pPr>
      <w:r>
        <w:rPr/>
        <w:t xml:space="preserve">Task 3 · Magazine</w:t>
      </w:r>
    </w:p>
    <w:p>
      <w:pPr>
        <w:pStyle w:val="Heading1"/>
      </w:pPr>
      <w:r>
        <w:rPr/>
        <w:t xml:space="preserve">A lead story sets the rhythm.</w:t>
      </w:r>
    </w:p>
    <w:p>
      <w:pPr>
        <w:jc w:val="center"/>
        <w:keepNext/>
      </w:pPr>
      <w:r>
        <w:drawing>
          <wp:inline distT="0" distB="0" distL="0" distR="0">
            <wp:extent cx="5647944" cy="4663440"/>
            <wp:docPr id="12" name="Image 12" descr="Desktop magazine with lead spanning columns and r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647944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12. Upper portion of the magazine view at a 1200 px viewport.</w:t>
      </w:r>
    </w:p>
    <w:p>
      <w:pPr>
        <w:pStyle w:val="Normal"/>
      </w:pPr>
      <w:r>
        <w:rPr>
          <w:b/>
        </w:rPr>
        <w:t xml:space="preserve">Tool:</w:t>
      </w:r>
      <w:r>
        <w:rPr/>
        <w:t xml:space="preserve"> Grid lets the first item span two columns and two rows, while Flexbox structures the content inside each article.</w:t>
      </w:r>
    </w:p>
    <w:p>
      <w:pPr>
        <w:pStyle w:val="Normal"/>
      </w:pPr>
      <w:r>
        <w:rPr/>
        <w:t xml:space="preserve">The track minimum can shrink to half the available width. On narrow screens the lead occupies both columns; on wide screens additional columns appear and smaller stories fill the space beside it.</w:t>
      </w:r>
    </w:p>
    <w:p>
      <w:r>
        <w:br w:type="page"/>
      </w:r>
    </w:p>
    <w:p>
      <w:pPr>
        <w:pStyle w:val="Subtitle"/>
      </w:pPr>
      <w:r>
        <w:rPr/>
        <w:t xml:space="preserve">Task 3 · Key CSS</w:t>
      </w:r>
    </w:p>
    <w:p>
      <w:pPr>
        <w:pStyle w:val="Heading1"/>
      </w:pPr>
      <w:r>
        <w:rPr/>
        <w:t xml:space="preserve">Change a class, keep the HTML.</w:t>
      </w:r>
    </w:p>
    <w:p>
      <w:pPr>
        <w:jc w:val="center"/>
        <w:keepNext/>
      </w:pPr>
      <w:r>
        <w:drawing>
          <wp:inline distT="0" distB="0" distL="0" distR="0">
            <wp:extent cx="5181600" cy="4663440"/>
            <wp:docPr id="13" name="Image 13" descr="Screenshot of the three layout CSS mo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 13. Key declarations from layouts.css.</w:t>
      </w:r>
    </w:p>
    <w:p>
      <w:pPr>
        <w:pStyle w:val="Normal"/>
      </w:pPr>
      <w:r>
        <w:rPr/>
        <w:t xml:space="preserve">Change the container class from </w:t>
      </w:r>
      <w:r>
        <w:rPr>
          <w:rFonts w:ascii="Consolas" w:hAnsi="Consolas"/>
          <w:sz w:val="19"/>
        </w:rPr>
        <w:t xml:space="preserve">journal layout-grid</w:t>
      </w:r>
      <w:r>
        <w:rPr/>
        <w:t xml:space="preserve"> to </w:t>
      </w:r>
      <w:r>
        <w:rPr>
          <w:rFonts w:ascii="Consolas" w:hAnsi="Consolas"/>
          <w:sz w:val="19"/>
        </w:rPr>
        <w:t xml:space="preserve">journal layout-list</w:t>
      </w:r>
      <w:r>
        <w:rPr/>
        <w:t xml:space="preserve"> or </w:t>
      </w:r>
      <w:r>
        <w:rPr>
          <w:rFonts w:ascii="Consolas" w:hAnsi="Consolas"/>
          <w:sz w:val="19"/>
        </w:rPr>
        <w:t xml:space="preserve">journal layout-magazine</w:t>
      </w:r>
      <w:r>
        <w:rPr/>
        <w:t xml:space="preserve">. All twelve articles remain untouched.</w:t>
      </w:r>
    </w:p>
    <w:p>
      <w:pPr>
        <w:pStyle w:val="Normal"/>
      </w:pPr>
      <w:r>
        <w:rPr/>
        <w:t xml:space="preserve">Three static demonstration files make each mode accessible without JavaScript. A file comparison confirmed they are identical except for this single class value.</w:t>
      </w:r>
    </w:p>
    <w:p>
      <w:r>
        <w:br w:type="page"/>
      </w:r>
    </w:p>
    <w:p>
      <w:pPr>
        <w:pStyle w:val="Subtitle"/>
      </w:pPr>
      <w:r>
        <w:rPr/>
        <w:t xml:space="preserve">Responsive checks</w:t>
      </w:r>
    </w:p>
    <w:p>
      <w:pPr>
        <w:pStyle w:val="Heading1"/>
      </w:pPr>
      <w:r>
        <w:rPr/>
        <w:t xml:space="preserve">From desktop to phone.</w:t>
      </w:r>
    </w:p>
    <w:tbl>
      <w:tblPr>
        <w:tblW w:w="0" w:type="auto"/>
        <w:tblLayout w:type="fixed"/>
      </w:tblPr>
      <w:tblGrid>
        <w:gridCol w:w="3360"/>
        <w:gridCol w:w="3360"/>
        <w:gridCol w:w="3360"/>
      </w:tblGrid>
      <w:tr>
        <w:tc>
          <w:tcPr>
            <w:tcW w:w="3360" w:type="dxa"/>
          </w:tcPr>
          <w:p>
            <w:pPr>
              <w:jc w:val="center"/>
              <w:keepNext/>
            </w:pPr>
            <w:r>
              <w:drawing>
                <wp:inline distT="0" distB="0" distL="0" distR="0">
                  <wp:extent cx="1725250" cy="3566160"/>
                  <wp:docPr id="14" name="Image 14" descr="Card grid on narrow scr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14.png"/>
                          <pic:cNvPicPr/>
                        </pic:nvPicPr>
                        <pic:blipFill>
                          <a:blip r:embed="rIdImage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50" cy="356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Card grid, 390 px.</w:t>
            </w:r>
          </w:p>
        </w:tc>
        <w:tc>
          <w:tcPr>
            <w:tcW w:w="3360" w:type="dxa"/>
          </w:tcPr>
          <w:p>
            <w:pPr>
              <w:jc w:val="center"/>
              <w:keepNext/>
            </w:pPr>
            <w:r>
              <w:drawing>
                <wp:inline distT="0" distB="0" distL="0" distR="0">
                  <wp:extent cx="1725250" cy="3566160"/>
                  <wp:docPr id="15" name="Image 15" descr="List on narrow scr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15.png"/>
                          <pic:cNvPicPr/>
                        </pic:nvPicPr>
                        <pic:blipFill>
                          <a:blip r:embed="rIdImage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50" cy="356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Compact list, 390 px.</w:t>
            </w:r>
          </w:p>
        </w:tc>
        <w:tc>
          <w:tcPr>
            <w:tcW w:w="3360" w:type="dxa"/>
          </w:tcPr>
          <w:p>
            <w:pPr>
              <w:jc w:val="center"/>
              <w:keepNext/>
            </w:pPr>
            <w:r>
              <w:drawing>
                <wp:inline distT="0" distB="0" distL="0" distR="0">
                  <wp:extent cx="1725250" cy="3566160"/>
                  <wp:docPr id="16" name="Image 16" descr="Magazine on narrow scr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16.png"/>
                          <pic:cNvPicPr/>
                        </pic:nvPicPr>
                        <pic:blipFill>
                          <a:blip r:embed="rIdImage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50" cy="356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Magazine, 390 px.</w:t>
            </w:r>
          </w:p>
        </w:tc>
      </w:tr>
    </w:tbl>
    <w:p/>
    <w:p>
      <w:pPr>
        <w:pStyle w:val="Normal"/>
      </w:pPr>
      <w:r>
        <w:rPr/>
        <w:t xml:space="preserve">These screenshots show the upper portion of each layout at a narrow viewport. The same rules are used at every width; no media queries are needed.</w:t>
      </w:r>
    </w:p>
    <w:tbl>
      <w:tblPr>
        <w:tblW w:w="5000" w:type="pct"/>
        <w:tblBorders>
          <w:bottom w:val="single" w:sz="4" w:color="D7DFD5"/>
          <w:insideH w:val="single" w:sz="4" w:color="D7DFD5"/>
        </w:tblBorders>
      </w:tblPr>
      <w:tr>
        <w:trPr>
          <w:cantSplit/>
        </w:trPr>
        <w:tc>
          <w:tcPr>
            <w:shd w:fill="EDF3E9"/>
          </w:tcPr>
          <w:p>
            <w:pPr>
              <w:pStyle w:val="TableText"/>
            </w:pPr>
            <w:r>
              <w:rPr/>
              <w:t xml:space="preserve">Browser check</w:t>
            </w:r>
          </w:p>
        </w:tc>
        <w:tc>
          <w:tcPr>
            <w:shd w:fill="EDF3E9"/>
          </w:tcPr>
          <w:p>
            <w:pPr>
              <w:pStyle w:val="TableText"/>
            </w:pPr>
            <w:r>
              <w:rPr/>
              <w:t xml:space="preserve">Result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All five pages at 1440, 390 and 320 px</w:t>
            </w:r>
          </w:p>
        </w:tc>
        <w:tc>
          <w:tcPr/>
          <w:p>
            <w:pPr>
              <w:pStyle w:val="TableText"/>
            </w:pPr>
            <w:r>
              <w:rPr/>
              <w:t xml:space="preserve">No horizontal overflow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Images on every page</w:t>
            </w:r>
          </w:p>
        </w:tc>
        <w:tc>
          <w:tcPr/>
          <w:p>
            <w:pPr>
              <w:pStyle w:val="TableText"/>
            </w:pPr>
            <w:r>
              <w:rPr/>
              <w:t xml:space="preserve">All loaded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Composition dimensions</w:t>
            </w:r>
          </w:p>
        </w:tc>
        <w:tc>
          <w:tcPr/>
          <w:p>
            <w:pPr>
              <w:pStyle w:val="TableText"/>
            </w:pPr>
            <w:r>
              <w:rPr/>
              <w:t xml:space="preserve">Square; within viewport height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Cards at desktop width</w:t>
            </w:r>
          </w:p>
        </w:tc>
        <w:tc>
          <w:tcPr/>
          <w:p>
            <w:pPr>
              <w:pStyle w:val="TableText"/>
            </w:pPr>
            <w:r>
              <w:rPr/>
              <w:t xml:space="preserve">Equal heights; aligned buttons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Recommended pricing plan</w:t>
            </w:r>
          </w:p>
        </w:tc>
        <w:tc>
          <w:tcPr/>
          <w:p>
            <w:pPr>
              <w:pStyle w:val="TableText"/>
            </w:pPr>
            <w:r>
              <w:rPr/>
              <w:t xml:space="preserve">Taller than adjacent plans</w:t>
            </w:r>
          </w:p>
        </w:tc>
      </w:tr>
      <w:tr>
        <w:trPr>
          <w:cantSplit/>
        </w:trPr>
        <w:tc>
          <w:tcPr/>
          <w:p>
            <w:pPr>
              <w:pStyle w:val="TableText"/>
            </w:pPr>
            <w:r>
              <w:rPr/>
              <w:t xml:space="preserve">Articles in every layout</w:t>
            </w:r>
          </w:p>
        </w:tc>
        <w:tc>
          <w:tcPr/>
          <w:p>
            <w:pPr>
              <w:pStyle w:val="TableText"/>
            </w:pPr>
            <w:r>
              <w:rPr/>
              <w:t xml:space="preserve">12; identical markup</w:t>
            </w:r>
          </w:p>
        </w:tc>
      </w:tr>
    </w:tbl>
    <w:p/>
    <w:p>
      <w:pPr>
        <w:pStyle w:val="Heading2"/>
      </w:pPr>
      <w:r>
        <w:rPr/>
        <w:t xml:space="preserve">Conclusion</w:t>
      </w:r>
    </w:p>
    <w:p>
      <w:pPr>
        <w:pStyle w:val="Normal"/>
      </w:pPr>
      <w:r>
        <w:rPr/>
        <w:t xml:space="preserve">The exercises show how Grid handles two-dimensional placement and how Flexbox handles alignment and distribution along one axis. Fluid track sizes, wrapping, automatic margins and content-driven heights make layouts respond to both screen size and changing text.</w:t>
      </w:r>
    </w:p>
    <w:sectPr>
      <w:pgSz w:w="11906" w:h="16838"/>
      <w:pgMar w:top="907" w:right="907" w:bottom="907" w:left="907" w:header="400" w:footer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color w:val="182F2A"/>
      </w:rPr>
    </w:rPrDefault>
    <w:pPrDefault>
      <w:pPr>
        <w:spacing w:after="130" w:line="27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</w:pPr>
    <w:rPr>
      <w:sz w:val="64"/>
    </w:rPr>
  </w:style>
  <w:style w:type="paragraph" w:styleId="Heading1">
    <w:name w:val="Heading1"/>
    <w:basedOn w:val="Normal"/>
    <w:pPr>
      <w:keepNext/>
    </w:pPr>
    <w:rPr>
      <w:sz w:val="42"/>
    </w:rPr>
  </w:style>
  <w:style w:type="paragraph" w:styleId="Heading2">
    <w:name w:val="Heading2"/>
    <w:basedOn w:val="Normal"/>
    <w:pPr>
      <w:keepNext/>
    </w:pPr>
    <w:rPr>
      <w:sz w:val="26"/>
    </w:rPr>
  </w:style>
  <w:style w:type="paragraph" w:styleId="Subtitle">
    <w:name w:val="Subtitle"/>
    <w:basedOn w:val="Normal"/>
    <w:pPr>
      <w:keepNext/>
    </w:pPr>
    <w:rPr>
      <w:sz w:val="18"/>
    </w:rPr>
  </w:style>
  <w:style w:type="paragraph" w:styleId="Caption">
    <w:name w:val="Caption"/>
    <w:basedOn w:val="Normal"/>
    <w:pPr/>
    <w:rPr>
      <w:sz w:val="17"/>
    </w:rPr>
  </w:style>
  <w:style w:type="paragraph" w:styleId="TableText">
    <w:name w:val="TableText"/>
    <w:basedOn w:val="Normal"/>
    <w:pPr/>
    <w:rPr>
      <w:sz w:val="19"/>
    </w:rPr>
  </w:style>
</w:styles>
</file>

<file path=word/_rels/document.xml.rels><Relationships xmlns="http://schemas.openxmlformats.org/package/2006/relationships"><Relationship Id="rIdLink0" Type="http://schemas.openxmlformats.org/officeDocument/2006/relationships/hyperlink" Target="https://github.com/akylzhomart699-spec/Assigment2" TargetMode="External"/><Relationship Id="rIdLink1" Type="http://schemas.openxmlformats.org/officeDocument/2006/relationships/hyperlink" Target="https://akylzhomart699-spec.github.io/Assigment2/" TargetMode="Externa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Relationship Id="rIdImage9" Type="http://schemas.openxmlformats.org/officeDocument/2006/relationships/image" Target="media/image9.png"/><Relationship Id="rIdImage10" Type="http://schemas.openxmlformats.org/officeDocument/2006/relationships/image" Target="media/image10.png"/><Relationship Id="rIdImage11" Type="http://schemas.openxmlformats.org/officeDocument/2006/relationships/image" Target="media/image11.png"/><Relationship Id="rIdImage12" Type="http://schemas.openxmlformats.org/officeDocument/2006/relationships/image" Target="media/image12.png"/><Relationship Id="rIdImage13" Type="http://schemas.openxmlformats.org/officeDocument/2006/relationships/image" Target="media/image13.png"/><Relationship Id="rIdImage14" Type="http://schemas.openxmlformats.org/officeDocument/2006/relationships/image" Target="media/image14.png"/><Relationship Id="rIdImage15" Type="http://schemas.openxmlformats.org/officeDocument/2006/relationships/image" Target="media/image15.png"/><Relationship Id="rIdImage16" Type="http://schemas.openxmlformats.org/officeDocument/2006/relationships/image" Target="media/image16.png"/><Relationship Id="rIdStyles" Type="http://schemas.openxmlformats.org/officeDocument/2006/relationships/styles" Target="styles.xml"/></Relationships>
</file>