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Executive Secretary Responsibilities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Attendance at Bishopric meetings, </w:t>
      </w:r>
      <w:r w:rsidDel="00000000" w:rsidR="00000000" w:rsidRPr="00000000">
        <w:rPr>
          <w:sz w:val="28"/>
          <w:szCs w:val="28"/>
          <w:rtl w:val="0"/>
        </w:rPr>
        <w:t xml:space="preserve">follow up on assignments made in these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 as a member of the ward council and attend ward council meetings. As directed by the bishopric, follow up on assignments made in these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Updating Bishopric &amp; Ward Council Agendas.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Scheduling incoming Bishop and counselor interview requests.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Assist the Ward Clerk in scheduling annual tithing review.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Participate in training from the stake presidency.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sz w:val="28"/>
          <w:szCs w:val="28"/>
          <w:rtl w:val="0"/>
        </w:rPr>
        <w:t xml:space="preserve">To ensure the safety of children and youth, complete the training course found at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rtl w:val="0"/>
          </w:rPr>
          <w:t xml:space="preserve">ProtectingChildren.ChurchofJesusChrist.org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You are required to renew this training every three years.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responsibilities as we discover them!</w:t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Assistant Executive Secretary Responsibilities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Assignment of Sacrament meeting prayers.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Track the youth Sacrament Speaker(s).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Reminders for speakers and prayers for Sacrament meeting.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Invitation and scheduling for members whose Temple recommends have expired to renew.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Scheduling of all semi-annual (May-June-July) youth interviews with Bishop/Counselors.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Scheduling of all annual youth interviews (December) with Bishop only.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 the bishopric with seminary and institute matters, such as helping ward members register for classes.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Keep a current list of names and addresses of ward members who are in the military. Ensure that ward leaders are aware of these members (see 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38.9.2</w:t>
        </w:r>
      </w:hyperlink>
      <w:r w:rsidDel="00000000" w:rsidR="00000000" w:rsidRPr="00000000">
        <w:rPr>
          <w:sz w:val="28"/>
          <w:szCs w:val="28"/>
          <w:rtl w:val="0"/>
        </w:rPr>
        <w:t xml:space="preserve">). Inform the stake executive secretary when members plan to enter the military.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 responsibilities 1, 2, &amp; 3 or the Executive Secretary Responsibilities when the Executive Secretary is not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Participate in training from the stake presidency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ensure the safety of children and youth, complete the training course found at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rtl w:val="0"/>
          </w:rPr>
          <w:t xml:space="preserve">ProtectingChildren.ChurchofJesusChrist.org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You are required to renew this training every three years.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responsibilities as we discover them!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tectingchildren.churchofjesuschrist.org/" TargetMode="External"/><Relationship Id="rId7" Type="http://schemas.openxmlformats.org/officeDocument/2006/relationships/hyperlink" Target="https://www.churchofjesuschrist.org/study/manual/general-handbook/38-church-policies-and-guidelines?lang=eng&amp;para=title_number207-p734#title_number207" TargetMode="External"/><Relationship Id="rId8" Type="http://schemas.openxmlformats.org/officeDocument/2006/relationships/hyperlink" Target="http://protectingchildren.churchofjesuschri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