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D37" w:rsidRPr="003C668B" w:rsidRDefault="003C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68B">
        <w:rPr>
          <w:rFonts w:ascii="Times New Roman" w:hAnsi="Times New Roman" w:cs="Times New Roman"/>
          <w:sz w:val="24"/>
          <w:szCs w:val="24"/>
          <w:lang w:val="en-US"/>
        </w:rPr>
        <w:t>Lab 01 — The price of one request</w:t>
      </w:r>
    </w:p>
    <w:p w:rsidR="003C668B" w:rsidRPr="003C668B" w:rsidRDefault="003C668B" w:rsidP="003C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C668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</w:t>
      </w:r>
      <w:r w:rsidRPr="003C668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 Token Ratio: Predictions vs. Measured Values</w:t>
      </w:r>
    </w:p>
    <w:p w:rsidR="003C668B" w:rsidRPr="003C668B" w:rsidRDefault="003C668B" w:rsidP="003C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C66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Token count evaluation for the complaint text (COMPLAINT) and system prompt based on byte predictions and measured values:</w:t>
      </w:r>
    </w:p>
    <w:p w:rsidR="003C668B" w:rsidRPr="003C668B" w:rsidRDefault="003C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68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2996660" wp14:editId="5FD4035E">
            <wp:extent cx="5940425" cy="1322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8B" w:rsidRPr="003C668B" w:rsidRDefault="003C66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668B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3C668B">
        <w:rPr>
          <w:rFonts w:ascii="Times New Roman" w:hAnsi="Times New Roman" w:cs="Times New Roman"/>
          <w:sz w:val="24"/>
          <w:szCs w:val="24"/>
          <w:lang w:val="en-US"/>
        </w:rPr>
        <w:t xml:space="preserve"> Byte ratios (approx. 2.0x for Cyrillic) undercount token usage on legacy tokenizers (</w:t>
      </w:r>
      <w:r w:rsidRPr="003C668B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cl100k_base</w:t>
      </w:r>
      <w:r w:rsidRPr="003C668B">
        <w:rPr>
          <w:rFonts w:ascii="Times New Roman" w:hAnsi="Times New Roman" w:cs="Times New Roman"/>
          <w:sz w:val="24"/>
          <w:szCs w:val="24"/>
          <w:lang w:val="en-US"/>
        </w:rPr>
        <w:t xml:space="preserve">), where Kazakh requires </w:t>
      </w:r>
      <w:r w:rsidRPr="003C668B">
        <w:rPr>
          <w:rFonts w:ascii="Times New Roman" w:hAnsi="Times New Roman" w:cs="Times New Roman"/>
          <w:b/>
          <w:bCs/>
          <w:sz w:val="24"/>
          <w:szCs w:val="24"/>
          <w:lang w:val="en-US"/>
        </w:rPr>
        <w:t>4.49x</w:t>
      </w:r>
      <w:r w:rsidRPr="003C668B">
        <w:rPr>
          <w:rFonts w:ascii="Times New Roman" w:hAnsi="Times New Roman" w:cs="Times New Roman"/>
          <w:sz w:val="24"/>
          <w:szCs w:val="24"/>
          <w:lang w:val="en-US"/>
        </w:rPr>
        <w:t xml:space="preserve"> more tokens than English. Modern tokenizers (</w:t>
      </w:r>
      <w:r w:rsidRPr="003C668B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o200k_base</w:t>
      </w:r>
      <w:r w:rsidRPr="003C668B">
        <w:rPr>
          <w:rFonts w:ascii="Times New Roman" w:hAnsi="Times New Roman" w:cs="Times New Roman"/>
          <w:sz w:val="24"/>
          <w:szCs w:val="24"/>
          <w:lang w:val="en-US"/>
        </w:rPr>
        <w:t>) compress Kazakh much more efficiently (down to 2.00x relative to EN).</w:t>
      </w:r>
    </w:p>
    <w:p w:rsidR="003C668B" w:rsidRPr="003C668B" w:rsidRDefault="003C668B" w:rsidP="003C668B">
      <w:pPr>
        <w:pStyle w:val="3"/>
        <w:rPr>
          <w:sz w:val="24"/>
          <w:szCs w:val="24"/>
          <w:lang w:val="en-US"/>
        </w:rPr>
      </w:pPr>
      <w:r w:rsidRPr="003C668B">
        <w:rPr>
          <w:sz w:val="24"/>
          <w:szCs w:val="24"/>
          <w:lang w:val="en-US"/>
        </w:rPr>
        <w:t>2. Annual Cost Table (Volume: 5,000 requests/day)</w:t>
      </w:r>
    </w:p>
    <w:p w:rsidR="003C668B" w:rsidRPr="003C668B" w:rsidRDefault="003C668B" w:rsidP="003C668B">
      <w:pPr>
        <w:pStyle w:val="a3"/>
        <w:rPr>
          <w:lang w:val="en-US"/>
        </w:rPr>
      </w:pPr>
      <w:r w:rsidRPr="003C668B">
        <w:rPr>
          <w:lang w:val="en-US"/>
        </w:rPr>
        <w:t>Annual cost estimate for running a first-line support queue (in USD per year at 5,000 requests/day):</w:t>
      </w:r>
    </w:p>
    <w:p w:rsidR="003C668B" w:rsidRPr="003C668B" w:rsidRDefault="003C668B" w:rsidP="003C668B">
      <w:pPr>
        <w:pStyle w:val="a3"/>
        <w:rPr>
          <w:b/>
          <w:bCs/>
          <w:lang w:val="en-US"/>
        </w:rPr>
      </w:pPr>
      <w:r w:rsidRPr="003C668B">
        <w:rPr>
          <w:lang w:val="en-US"/>
        </w:rPr>
        <w:drawing>
          <wp:inline distT="0" distB="0" distL="0" distR="0" wp14:anchorId="33B81316" wp14:editId="5CAFCDCE">
            <wp:extent cx="5940425" cy="14331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8B" w:rsidRPr="003C668B" w:rsidRDefault="003C668B" w:rsidP="003C668B">
      <w:pPr>
        <w:pStyle w:val="a3"/>
        <w:rPr>
          <w:lang w:val="en-US"/>
        </w:rPr>
      </w:pPr>
      <w:r w:rsidRPr="003C668B">
        <w:rPr>
          <w:b/>
          <w:bCs/>
          <w:lang w:val="en-US"/>
        </w:rPr>
        <w:t>Volume Justification:</w:t>
      </w:r>
    </w:p>
    <w:p w:rsidR="003C668B" w:rsidRPr="003C668B" w:rsidRDefault="003C668B" w:rsidP="003C668B">
      <w:pPr>
        <w:pStyle w:val="a3"/>
        <w:rPr>
          <w:lang w:val="en-US"/>
        </w:rPr>
      </w:pPr>
      <w:r w:rsidRPr="003C668B">
        <w:rPr>
          <w:lang w:val="en-US"/>
        </w:rPr>
        <w:t>A daily volume of 5,000 requests reflects a realistic daily ticket load for a medium-sized bank or telecom support line in Kazakhstan during peak operational hours.</w:t>
      </w:r>
    </w:p>
    <w:p w:rsidR="003C668B" w:rsidRPr="003C668B" w:rsidRDefault="003C668B" w:rsidP="003C668B">
      <w:pPr>
        <w:pStyle w:val="3"/>
        <w:rPr>
          <w:sz w:val="24"/>
          <w:szCs w:val="24"/>
          <w:lang w:val="en-US"/>
        </w:rPr>
      </w:pPr>
      <w:r w:rsidRPr="003C668B">
        <w:rPr>
          <w:sz w:val="24"/>
          <w:szCs w:val="24"/>
          <w:lang w:val="en-US"/>
        </w:rPr>
        <w:t>3. Production Model Recommendation for Kazakh Support Queue</w:t>
      </w:r>
    </w:p>
    <w:p w:rsidR="003C668B" w:rsidRPr="003C668B" w:rsidRDefault="003C668B" w:rsidP="003C668B">
      <w:pPr>
        <w:pStyle w:val="a3"/>
      </w:pPr>
      <w:proofErr w:type="spellStart"/>
      <w:r w:rsidRPr="003C668B">
        <w:rPr>
          <w:b/>
          <w:bCs/>
        </w:rPr>
        <w:t>Recommended</w:t>
      </w:r>
      <w:proofErr w:type="spellEnd"/>
      <w:r w:rsidRPr="003C668B">
        <w:rPr>
          <w:b/>
          <w:bCs/>
        </w:rPr>
        <w:t xml:space="preserve"> </w:t>
      </w:r>
      <w:proofErr w:type="spellStart"/>
      <w:r w:rsidRPr="003C668B">
        <w:rPr>
          <w:b/>
          <w:bCs/>
        </w:rPr>
        <w:t>Model</w:t>
      </w:r>
      <w:proofErr w:type="spellEnd"/>
      <w:r w:rsidRPr="003C668B">
        <w:rPr>
          <w:b/>
          <w:bCs/>
        </w:rPr>
        <w:t>:</w:t>
      </w:r>
      <w:r w:rsidRPr="003C668B">
        <w:t xml:space="preserve"> </w:t>
      </w:r>
      <w:proofErr w:type="spellStart"/>
      <w:r w:rsidRPr="003C668B">
        <w:rPr>
          <w:rStyle w:val="HTML"/>
          <w:rFonts w:ascii="Times New Roman" w:hAnsi="Times New Roman" w:cs="Times New Roman"/>
          <w:sz w:val="24"/>
          <w:szCs w:val="24"/>
        </w:rPr>
        <w:t>Claude</w:t>
      </w:r>
      <w:proofErr w:type="spellEnd"/>
      <w:r w:rsidRPr="003C668B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68B">
        <w:rPr>
          <w:rStyle w:val="HTML"/>
          <w:rFonts w:ascii="Times New Roman" w:hAnsi="Times New Roman" w:cs="Times New Roman"/>
          <w:sz w:val="24"/>
          <w:szCs w:val="24"/>
        </w:rPr>
        <w:t>Haiku</w:t>
      </w:r>
      <w:proofErr w:type="spellEnd"/>
      <w:r w:rsidRPr="003C668B">
        <w:rPr>
          <w:rStyle w:val="HTML"/>
          <w:rFonts w:ascii="Times New Roman" w:hAnsi="Times New Roman" w:cs="Times New Roman"/>
          <w:sz w:val="24"/>
          <w:szCs w:val="24"/>
        </w:rPr>
        <w:t xml:space="preserve"> 4.5</w:t>
      </w:r>
    </w:p>
    <w:p w:rsidR="003C668B" w:rsidRPr="003C668B" w:rsidRDefault="003C668B" w:rsidP="003C668B">
      <w:pPr>
        <w:pStyle w:val="a3"/>
        <w:numPr>
          <w:ilvl w:val="0"/>
          <w:numId w:val="1"/>
        </w:numPr>
        <w:rPr>
          <w:lang w:val="en-US"/>
        </w:rPr>
      </w:pPr>
      <w:r w:rsidRPr="003C668B">
        <w:rPr>
          <w:b/>
          <w:bCs/>
          <w:lang w:val="en-US"/>
        </w:rPr>
        <w:t>Cost Argument:</w:t>
      </w:r>
      <w:r w:rsidRPr="003C668B">
        <w:rPr>
          <w:lang w:val="en-US"/>
        </w:rPr>
        <w:t xml:space="preserve"> Deploying </w:t>
      </w:r>
      <w:r w:rsidRPr="003C668B">
        <w:rPr>
          <w:rStyle w:val="HTML"/>
          <w:rFonts w:ascii="Times New Roman" w:hAnsi="Times New Roman" w:cs="Times New Roman"/>
          <w:sz w:val="24"/>
          <w:szCs w:val="24"/>
          <w:lang w:val="en-US"/>
        </w:rPr>
        <w:t>Haiku 4.5</w:t>
      </w:r>
      <w:r w:rsidRPr="003C668B">
        <w:rPr>
          <w:lang w:val="en-US"/>
        </w:rPr>
        <w:t xml:space="preserve"> for Kazakh costs </w:t>
      </w:r>
      <w:r w:rsidRPr="003C668B">
        <w:rPr>
          <w:b/>
          <w:bCs/>
          <w:lang w:val="en-US"/>
        </w:rPr>
        <w:t>$12,779/year</w:t>
      </w:r>
      <w:r w:rsidRPr="003C668B">
        <w:rPr>
          <w:lang w:val="en-US"/>
        </w:rPr>
        <w:t xml:space="preserve"> compared to </w:t>
      </w:r>
      <w:r w:rsidRPr="003C668B">
        <w:rPr>
          <w:b/>
          <w:bCs/>
          <w:lang w:val="en-US"/>
        </w:rPr>
        <w:t>$63,893/year</w:t>
      </w:r>
      <w:r w:rsidRPr="003C668B">
        <w:rPr>
          <w:lang w:val="en-US"/>
        </w:rPr>
        <w:t xml:space="preserve"> on </w:t>
      </w:r>
      <w:r w:rsidRPr="003C668B">
        <w:rPr>
          <w:rStyle w:val="HTML"/>
          <w:rFonts w:ascii="Times New Roman" w:hAnsi="Times New Roman" w:cs="Times New Roman"/>
          <w:sz w:val="24"/>
          <w:szCs w:val="24"/>
          <w:lang w:val="en-US"/>
        </w:rPr>
        <w:t>Opus 5</w:t>
      </w:r>
      <w:r w:rsidRPr="003C668B">
        <w:rPr>
          <w:lang w:val="en-US"/>
        </w:rPr>
        <w:t xml:space="preserve"> (over 80% cost reduction), making automated customer support economically viable.</w:t>
      </w:r>
    </w:p>
    <w:p w:rsidR="003C668B" w:rsidRPr="003C668B" w:rsidRDefault="003C668B" w:rsidP="003C668B">
      <w:pPr>
        <w:pStyle w:val="a3"/>
        <w:numPr>
          <w:ilvl w:val="0"/>
          <w:numId w:val="1"/>
        </w:numPr>
        <w:rPr>
          <w:lang w:val="en-US"/>
        </w:rPr>
      </w:pPr>
      <w:r w:rsidRPr="003C668B">
        <w:rPr>
          <w:b/>
          <w:bCs/>
          <w:lang w:val="en-US"/>
        </w:rPr>
        <w:t>Quality Argument:</w:t>
      </w:r>
      <w:r w:rsidRPr="003C668B">
        <w:rPr>
          <w:lang w:val="en-US"/>
        </w:rPr>
        <w:t xml:space="preserve"> For standard customer support workflows (answering FAQs from documentation), </w:t>
      </w:r>
      <w:r w:rsidRPr="003C668B">
        <w:rPr>
          <w:rStyle w:val="HTML"/>
          <w:rFonts w:ascii="Times New Roman" w:hAnsi="Times New Roman" w:cs="Times New Roman"/>
          <w:sz w:val="24"/>
          <w:szCs w:val="24"/>
          <w:lang w:val="en-US"/>
        </w:rPr>
        <w:t>Haiku 4.5</w:t>
      </w:r>
      <w:r w:rsidRPr="003C668B">
        <w:rPr>
          <w:lang w:val="en-US"/>
        </w:rPr>
        <w:t xml:space="preserve"> provides high instruction-following precision and low latency, making the modest price increment between EN and KK ($12,779 vs $8,979) easily manageable.</w:t>
      </w:r>
    </w:p>
    <w:p w:rsidR="003C668B" w:rsidRPr="003C668B" w:rsidRDefault="003C668B" w:rsidP="003C668B">
      <w:pPr>
        <w:pStyle w:val="3"/>
        <w:rPr>
          <w:sz w:val="24"/>
          <w:szCs w:val="24"/>
          <w:lang w:val="en-US"/>
        </w:rPr>
      </w:pPr>
      <w:r w:rsidRPr="003C668B">
        <w:rPr>
          <w:sz w:val="24"/>
          <w:szCs w:val="24"/>
          <w:lang w:val="en-US"/>
        </w:rPr>
        <w:t>4. Cost Lever Not Used in This Lab</w:t>
      </w:r>
    </w:p>
    <w:p w:rsidR="003C668B" w:rsidRPr="003C668B" w:rsidRDefault="003C668B" w:rsidP="003C668B">
      <w:pPr>
        <w:pStyle w:val="a3"/>
        <w:rPr>
          <w:lang w:val="en-US"/>
        </w:rPr>
      </w:pPr>
      <w:r w:rsidRPr="003C668B">
        <w:rPr>
          <w:b/>
          <w:bCs/>
          <w:lang w:val="en-US"/>
        </w:rPr>
        <w:lastRenderedPageBreak/>
        <w:t>Unused Cost Optimization Lever:</w:t>
      </w:r>
      <w:bookmarkStart w:id="0" w:name="_GoBack"/>
      <w:bookmarkEnd w:id="0"/>
    </w:p>
    <w:p w:rsidR="003C668B" w:rsidRPr="003C668B" w:rsidRDefault="003C668B" w:rsidP="003C668B">
      <w:pPr>
        <w:pStyle w:val="a3"/>
        <w:rPr>
          <w:lang w:val="en-US"/>
        </w:rPr>
      </w:pPr>
      <w:r w:rsidRPr="003C668B">
        <w:rPr>
          <w:lang w:val="en-US"/>
        </w:rPr>
        <w:t xml:space="preserve">Applying </w:t>
      </w:r>
      <w:r w:rsidRPr="003C668B">
        <w:rPr>
          <w:b/>
          <w:bCs/>
          <w:lang w:val="en-US"/>
        </w:rPr>
        <w:t>Prompt Caching</w:t>
      </w:r>
      <w:r w:rsidRPr="003C668B">
        <w:rPr>
          <w:lang w:val="en-US"/>
        </w:rPr>
        <w:t>, which reduces the cost of repeated incoming tokens (such as the system prompt) by up to 90% for all subsequent requests in the queue.</w:t>
      </w:r>
    </w:p>
    <w:p w:rsidR="003C668B" w:rsidRPr="003C668B" w:rsidRDefault="003C668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C668B" w:rsidRPr="003C6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B5857"/>
    <w:multiLevelType w:val="multilevel"/>
    <w:tmpl w:val="8B8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68B"/>
    <w:rsid w:val="003C668B"/>
    <w:rsid w:val="00A5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C9607"/>
  <w15:chartTrackingRefBased/>
  <w15:docId w15:val="{7AA9D324-5470-4424-AAA5-FE9D2F2E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6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C66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C6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C66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1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2026-09-22T06:05:00Z</dcterms:created>
  <dcterms:modified xsi:type="dcterms:W3CDTF">2026-09-22T06:08:00Z</dcterms:modified>
</cp:coreProperties>
</file>