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Realty Marketplace</w:t>
      </w:r>
    </w:p>
    <w:p>
      <w:pPr>
        <w:spacing w:after="40"/>
      </w:pPr>
      <w:r>
        <w:rPr>
          <w:color w:val="595959"/>
          <w:sz w:val="28"/>
          <w:szCs w:val="28"/>
        </w:rPr>
        <w:t xml:space="preserve">Business &amp; Build Plan</w:t>
      </w:r>
    </w:p>
    <w:p>
      <w:pPr>
        <w:spacing w:after="400"/>
      </w:pPr>
      <w:r>
        <w:rPr>
          <w:i/>
          <w:iCs/>
          <w:color w:val="595959"/>
          <w:sz w:val="20"/>
          <w:szCs w:val="20"/>
        </w:rPr>
        <w:t xml:space="preserve">Working document — internal use</w:t>
      </w:r>
    </w:p>
    <w:p>
      <w:pPr>
        <w:pStyle w:val="Heading1"/>
        <w:spacing w:after="160" w:before="320"/>
      </w:pPr>
      <w:r>
        <w:t xml:space="preserve">1. Executive Summary</w:t>
      </w:r>
    </w:p>
    <w:p>
      <w:pPr>
        <w:spacing w:after="160"/>
      </w:pPr>
      <w:r>
        <w:t xml:space="preserve">A two-sided real estate marketplace for Nigeria, modelled on PadMapper's map-first browsing but built around a problem the existing Nigerian platforms (PropertyPro.ng, Nigeria Property Centre) don't solve: a verified, bookable, commission-tracked pipeline from listing to closed deal. Landlords and agents list properties for sale, standard rental, or (in a later phase) short-let; renters and buyers search by map or list; the platform provides a vetted agent for every viewing. Revenue comes from a listing fee, a commission on closed deals, and eventually a commission on short-let bookings. The build is entirely self-funded and self-built on free-tier infrastructure, with fraud prevention designed into the platform's mechanics rather than treated as a policy afterthought.</w:t>
      </w:r>
    </w:p>
    <w:p>
      <w:pPr>
        <w:pStyle w:val="Heading1"/>
        <w:spacing w:after="160" w:before="320"/>
      </w:pPr>
      <w:r>
        <w:t xml:space="preserve">2. Market Opportunity &amp; Competitive Landscape</w:t>
      </w:r>
    </w:p>
    <w:p>
      <w:pPr>
        <w:pStyle w:val="Heading2"/>
        <w:spacing w:after="120" w:before="240"/>
      </w:pPr>
      <w:r>
        <w:t xml:space="preserve">2.1 The market</w:t>
      </w:r>
    </w:p>
    <w:p>
      <w:pPr>
        <w:spacing w:after="160"/>
      </w:pPr>
      <w:r>
        <w:t xml:space="preserve">Nigeria's real estate sector is a large and structurally under-served market: estimates place its transaction value at roughly USD 29–32 billion as of 2024–2025, with continued growth projected through the decade. The country faces a housing deficit estimated at 22–28 million units, alongside rapid urbanization and a population approaching 260 million — all of which sustain strong underlying housing demand in Lagos, Abuja, and other major cities.</w:t>
      </w:r>
    </w:p>
    <w:p>
      <w:pPr>
        <w:pStyle w:val="Heading2"/>
        <w:spacing w:after="120" w:before="240"/>
      </w:pPr>
      <w:r>
        <w:t xml:space="preserve">2.2 What global leaders do well</w:t>
      </w:r>
    </w:p>
    <w:p>
      <w:pPr>
        <w:pStyle w:val="ListParagraph"/>
        <w:numPr>
          <w:ilvl w:val="0"/>
          <w:numId w:val="2"/>
        </w:numPr>
        <w:spacing w:after="80"/>
      </w:pPr>
      <w:r>
        <w:rPr>
          <w:b/>
          <w:bCs/>
        </w:rPr>
        <w:t xml:space="preserve">Zillow (US): </w:t>
      </w:r>
      <w:r>
        <w:t xml:space="preserve">Zestimate pricing, 3D/virtual tours, saved-search alerts — strong retention and pricing-transparency mechanics.</w:t>
      </w:r>
    </w:p>
    <w:p>
      <w:pPr>
        <w:pStyle w:val="ListParagraph"/>
        <w:numPr>
          <w:ilvl w:val="0"/>
          <w:numId w:val="2"/>
        </w:numPr>
        <w:spacing w:after="80"/>
      </w:pPr>
      <w:r>
        <w:rPr>
          <w:b/>
          <w:bCs/>
        </w:rPr>
        <w:t xml:space="preserve">PropertyFinder (Dubai/MENA): </w:t>
      </w:r>
      <w:r>
        <w:t xml:space="preserve">the most directly relevant comparison — an emerging market that solved the exact trust problem Nigeria has, through a verified-listing badge, a dedicated Quality Control review team, and a 100% verified agent directory.</w:t>
      </w:r>
    </w:p>
    <w:p>
      <w:pPr>
        <w:pStyle w:val="ListParagraph"/>
        <w:numPr>
          <w:ilvl w:val="0"/>
          <w:numId w:val="2"/>
        </w:numPr>
        <w:spacing w:after="80"/>
      </w:pPr>
      <w:r>
        <w:rPr>
          <w:b/>
          <w:bCs/>
        </w:rPr>
        <w:t xml:space="preserve">PadMapper (US/Canada): </w:t>
      </w:r>
      <w:r>
        <w:t xml:space="preserve">the direct model for browsing — map and list view synced side by side, lean filtering.</w:t>
      </w:r>
    </w:p>
    <w:p>
      <w:pPr>
        <w:pStyle w:val="Heading2"/>
        <w:spacing w:after="120" w:before="240"/>
      </w:pPr>
      <w:r>
        <w:t xml:space="preserve">2.3 Nigeria's current market — the gap</w:t>
      </w:r>
    </w:p>
    <w:p>
      <w:pPr>
        <w:spacing w:after="160"/>
      </w:pPr>
      <w:r>
        <w:t xml:space="preserve">PropertyPro.ng and Nigeria Property Centre are the dominant local platforms, both built around listing search and direct agent contact — essentially lead-generation, not transaction management. Neither offers in-platform booking, agent assignment, or commission tracking, and user feedback on the incumbents specifically flags inconsistent agent responsiveness. A new entrant, Closr, is launching in 2026 explicitly around verification and accountability — validation that this gap is real, and a signal to move with intent rather than treat it as open field.</w:t>
      </w:r>
    </w:p>
    <w:p>
      <w:pPr>
        <w:pStyle w:val="Heading2"/>
        <w:spacing w:after="120" w:before="240"/>
      </w:pPr>
      <w:r>
        <w:t xml:space="preserve">2.4 The trust gap this platform is built to close</w:t>
      </w:r>
    </w:p>
    <w:p>
      <w:pPr>
        <w:spacing w:after="160"/>
      </w:pPr>
      <w:r>
        <w:t xml:space="preserve">Documented fraud patterns in the Nigerian rental/sale market include fake listings with stolen photos, upfront-payment pressure before any viewing, the same property being “rented” to multiple tenants simultaneously, unregistered agents impersonating legitimate ones, and forged ownership documents. These patterns — not feature parity with global platforms — are what the product design below is built around.</w:t>
      </w:r>
    </w:p>
    <w:p>
      <w:pPr>
        <w:pStyle w:val="Heading1"/>
        <w:spacing w:after="160" w:before="320"/>
      </w:pPr>
      <w:r>
        <w:t xml:space="preserve">3. Product Scope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2000"/>
      </w:tblGrid>
      <w:tr>
        <w:trPr>
          <w:tblHeader/>
        </w:trPr>
        <w:tc>
          <w:tcPr>
            <w:tcW w:type="dxa" w:w="2200"/>
            <w:shd w:fill="1F4E78" w:val="clear"/>
            <w:tcMar>
              <w:top w:type="dxa" w:w="100"/>
              <w:left w:type="dxa" w:w="120"/>
              <w:bottom w:type="dxa" w:w="100"/>
              <w:right w:type="dxa" w:w="120"/>
            </w:tcMar>
          </w:tcPr>
          <w:p>
            <w:r>
              <w:rPr>
                <w:b/>
                <w:bCs/>
                <w:color w:val="FFFFFF"/>
                <w:sz w:val="20"/>
                <w:szCs w:val="20"/>
              </w:rPr>
              <w:t xml:space="preserve">Type</w:t>
            </w:r>
          </w:p>
        </w:tc>
        <w:tc>
          <w:tcPr>
            <w:tcW w:type="dxa" w:w="5800"/>
            <w:shd w:fill="1F4E78" w:val="clear"/>
            <w:tcMar>
              <w:top w:type="dxa" w:w="100"/>
              <w:left w:type="dxa" w:w="120"/>
              <w:bottom w:type="dxa" w:w="100"/>
              <w:right w:type="dxa" w:w="120"/>
            </w:tcMar>
          </w:tcPr>
          <w:p>
            <w:r>
              <w:rPr>
                <w:b/>
                <w:bCs/>
                <w:color w:val="FFFFFF"/>
                <w:sz w:val="20"/>
                <w:szCs w:val="20"/>
              </w:rPr>
              <w:t xml:space="preserve">Description</w:t>
            </w:r>
          </w:p>
        </w:tc>
        <w:tc>
          <w:tcPr>
            <w:tcW w:type="dxa" w:w="2000"/>
            <w:shd w:fill="1F4E78" w:val="clear"/>
            <w:tcMar>
              <w:top w:type="dxa" w:w="100"/>
              <w:left w:type="dxa" w:w="120"/>
              <w:bottom w:type="dxa" w:w="100"/>
              <w:right w:type="dxa" w:w="120"/>
            </w:tcMar>
          </w:tcPr>
          <w:p>
            <w:r>
              <w:rPr>
                <w:b/>
                <w:bCs/>
                <w:color w:val="FFFFFF"/>
                <w:sz w:val="20"/>
                <w:szCs w:val="20"/>
              </w:rPr>
              <w:t xml:space="preserve">Status</w:t>
            </w:r>
          </w:p>
        </w:tc>
      </w:tr>
      <w:tr>
        <w:tc>
          <w:tcPr>
            <w:tcW w:type="dxa" w:w="2200"/>
            <w:tcMar>
              <w:top w:type="dxa" w:w="100"/>
              <w:left w:type="dxa" w:w="120"/>
              <w:bottom w:type="dxa" w:w="100"/>
              <w:right w:type="dxa" w:w="120"/>
            </w:tcMar>
          </w:tcPr>
          <w:p>
            <w:r>
              <w:rPr>
                <w:b w:val="false"/>
                <w:bCs w:val="false"/>
                <w:color w:val="000000"/>
                <w:sz w:val="20"/>
                <w:szCs w:val="20"/>
              </w:rPr>
              <w:t xml:space="preserve">Sale</w:t>
            </w:r>
          </w:p>
        </w:tc>
        <w:tc>
          <w:tcPr>
            <w:tcW w:type="dxa" w:w="5800"/>
            <w:tcMar>
              <w:top w:type="dxa" w:w="100"/>
              <w:left w:type="dxa" w:w="120"/>
              <w:bottom w:type="dxa" w:w="100"/>
              <w:right w:type="dxa" w:w="120"/>
            </w:tcMar>
          </w:tcPr>
          <w:p>
            <w:r>
              <w:rPr>
                <w:b w:val="false"/>
                <w:bCs w:val="false"/>
                <w:color w:val="000000"/>
                <w:sz w:val="20"/>
                <w:szCs w:val="20"/>
              </w:rPr>
              <w:t xml:space="preserve">Landlord/developer lists property for sale; platform provides agent for viewing; commission on close.</w:t>
            </w:r>
          </w:p>
        </w:tc>
        <w:tc>
          <w:tcPr>
            <w:tcW w:type="dxa" w:w="2000"/>
            <w:tcMar>
              <w:top w:type="dxa" w:w="100"/>
              <w:left w:type="dxa" w:w="120"/>
              <w:bottom w:type="dxa" w:w="100"/>
              <w:right w:type="dxa" w:w="120"/>
            </w:tcMar>
          </w:tcPr>
          <w:p>
            <w:r>
              <w:rPr>
                <w:b w:val="false"/>
                <w:bCs w:val="false"/>
                <w:color w:val="000000"/>
                <w:sz w:val="20"/>
                <w:szCs w:val="20"/>
              </w:rPr>
              <w:t xml:space="preserve">Launch (v1)</w:t>
            </w:r>
          </w:p>
        </w:tc>
      </w:tr>
      <w:tr>
        <w:tc>
          <w:tcPr>
            <w:tcW w:type="dxa" w:w="2200"/>
            <w:tcMar>
              <w:top w:type="dxa" w:w="100"/>
              <w:left w:type="dxa" w:w="120"/>
              <w:bottom w:type="dxa" w:w="100"/>
              <w:right w:type="dxa" w:w="120"/>
            </w:tcMar>
          </w:tcPr>
          <w:p>
            <w:r>
              <w:rPr>
                <w:b w:val="false"/>
                <w:bCs w:val="false"/>
                <w:color w:val="000000"/>
                <w:sz w:val="20"/>
                <w:szCs w:val="20"/>
              </w:rPr>
              <w:t xml:space="preserve">Standard rental</w:t>
            </w:r>
          </w:p>
        </w:tc>
        <w:tc>
          <w:tcPr>
            <w:tcW w:type="dxa" w:w="5800"/>
            <w:tcMar>
              <w:top w:type="dxa" w:w="100"/>
              <w:left w:type="dxa" w:w="120"/>
              <w:bottom w:type="dxa" w:w="100"/>
              <w:right w:type="dxa" w:w="120"/>
            </w:tcMar>
          </w:tcPr>
          <w:p>
            <w:r>
              <w:rPr>
                <w:b w:val="false"/>
                <w:bCs w:val="false"/>
                <w:color w:val="000000"/>
                <w:sz w:val="20"/>
                <w:szCs w:val="20"/>
              </w:rPr>
              <w:t xml:space="preserve">Typical Nigerian tenancy — 1–2 year lease, annual rent.</w:t>
            </w:r>
          </w:p>
        </w:tc>
        <w:tc>
          <w:tcPr>
            <w:tcW w:type="dxa" w:w="2000"/>
            <w:tcMar>
              <w:top w:type="dxa" w:w="100"/>
              <w:left w:type="dxa" w:w="120"/>
              <w:bottom w:type="dxa" w:w="100"/>
              <w:right w:type="dxa" w:w="120"/>
            </w:tcMar>
          </w:tcPr>
          <w:p>
            <w:r>
              <w:rPr>
                <w:b w:val="false"/>
                <w:bCs w:val="false"/>
                <w:color w:val="000000"/>
                <w:sz w:val="20"/>
                <w:szCs w:val="20"/>
              </w:rPr>
              <w:t xml:space="preserve">Launch (v1)</w:t>
            </w:r>
          </w:p>
        </w:tc>
      </w:tr>
      <w:tr>
        <w:tc>
          <w:tcPr>
            <w:tcW w:type="dxa" w:w="2200"/>
            <w:tcMar>
              <w:top w:type="dxa" w:w="100"/>
              <w:left w:type="dxa" w:w="120"/>
              <w:bottom w:type="dxa" w:w="100"/>
              <w:right w:type="dxa" w:w="120"/>
            </w:tcMar>
          </w:tcPr>
          <w:p>
            <w:r>
              <w:rPr>
                <w:b w:val="false"/>
                <w:bCs w:val="false"/>
                <w:color w:val="000000"/>
                <w:sz w:val="20"/>
                <w:szCs w:val="20"/>
              </w:rPr>
              <w:t xml:space="preserve">Short-let / short lease</w:t>
            </w:r>
          </w:p>
        </w:tc>
        <w:tc>
          <w:tcPr>
            <w:tcW w:type="dxa" w:w="5800"/>
            <w:tcMar>
              <w:top w:type="dxa" w:w="100"/>
              <w:left w:type="dxa" w:w="120"/>
              <w:bottom w:type="dxa" w:w="100"/>
              <w:right w:type="dxa" w:w="120"/>
            </w:tcMar>
          </w:tcPr>
          <w:p>
            <w:r>
              <w:rPr>
                <w:b w:val="false"/>
                <w:bCs w:val="false"/>
                <w:color w:val="000000"/>
                <w:sz w:val="20"/>
                <w:szCs w:val="20"/>
              </w:rPr>
              <w:t xml:space="preserve">Nightly or weekly stays — serviced apartments, diaspora/traveler shortlets.</w:t>
            </w:r>
          </w:p>
        </w:tc>
        <w:tc>
          <w:tcPr>
            <w:tcW w:type="dxa" w:w="2000"/>
            <w:tcMar>
              <w:top w:type="dxa" w:w="100"/>
              <w:left w:type="dxa" w:w="120"/>
              <w:bottom w:type="dxa" w:w="100"/>
              <w:right w:type="dxa" w:w="120"/>
            </w:tcMar>
          </w:tcPr>
          <w:p>
            <w:r>
              <w:rPr>
                <w:b w:val="false"/>
                <w:bCs w:val="false"/>
                <w:color w:val="000000"/>
                <w:sz w:val="20"/>
                <w:szCs w:val="20"/>
              </w:rPr>
              <w:t xml:space="preserve">Phase 2, post-launch</w:t>
            </w:r>
          </w:p>
        </w:tc>
      </w:tr>
    </w:tbl>
    <w:p>
      <w:pPr>
        <w:spacing w:after="200"/>
      </w:pPr>
    </w:p>
    <w:p>
      <w:pPr>
        <w:spacing w:after="160"/>
      </w:pPr>
      <w:r>
        <w:t xml:space="preserve">Short-let is deliberately held back from the first launch. It behaves like a hotel/Airbnb booking rather than a traditional agency deal, needs its own calendar and payment infrastructure, and is the highest-fraud-risk segment in the Nigerian market (the documented Lagos shortlet scam cases specifically target this category). It will be built as a Phase 2 addition once the core sale/rental marketplace has real usage, verified agents, and an established trust layer to build on.</w:t>
      </w:r>
    </w:p>
    <w:p>
      <w:pPr>
        <w:pStyle w:val="Heading1"/>
        <w:spacing w:after="160" w:before="320"/>
      </w:pPr>
      <w:r>
        <w:t xml:space="preserve">4. Revenue Model</w:t>
      </w:r>
    </w:p>
    <w:p>
      <w:pPr>
        <w:pStyle w:val="Heading2"/>
        <w:spacing w:after="120" w:before="240"/>
      </w:pPr>
      <w:r>
        <w:t xml:space="preserve">A. Listing fee</w:t>
      </w:r>
    </w:p>
    <w:p>
      <w:pPr>
        <w:spacing w:after="160"/>
      </w:pPr>
      <w:r>
        <w:t xml:space="preserve">Flat fee paid by landlord/agent to publish a listing, collected upfront — the platform's only guaranteed revenue, independent of whether a deal ever closes.</w:t>
      </w:r>
    </w:p>
    <w:p>
      <w:pPr>
        <w:spacing w:after="160"/>
      </w:pPr>
      <w:r>
        <w:rPr>
          <w:b/>
          <w:bCs/>
        </w:rPr>
        <w:t xml:space="preserve">Cold-start decision: </w:t>
      </w:r>
      <w:r>
        <w:t xml:space="preserve">the listing fee is waived for the first 50 listings (or the first 90 days, whichever comes first). Charging landlords to list on a brand-new platform with no users yet is backwards — the supply side is subsidized first, and monetization runs purely on commission during that window.</w:t>
      </w:r>
    </w:p>
    <w:p>
      <w:pPr>
        <w:pStyle w:val="Heading2"/>
        <w:spacing w:after="120" w:before="240"/>
      </w:pPr>
      <w:r>
        <w:t xml:space="preserve">B. Sale commission</w:t>
      </w:r>
    </w:p>
    <w:p>
      <w:pPr>
        <w:pStyle w:val="ListParagraph"/>
        <w:numPr>
          <w:ilvl w:val="0"/>
          <w:numId w:val="2"/>
        </w:numPr>
        <w:spacing w:after="80"/>
      </w:pPr>
      <w:r>
        <w:t xml:space="preserve">Standard Nigerian market rate: 5–10% of sale price, conventionally paid by the seller.</w:t>
      </w:r>
    </w:p>
    <w:p>
      <w:pPr>
        <w:pStyle w:val="ListParagraph"/>
        <w:numPr>
          <w:ilvl w:val="0"/>
          <w:numId w:val="2"/>
        </w:numPr>
        <w:spacing w:after="80"/>
      </w:pPr>
      <w:r>
        <w:t xml:space="preserve">Invoice model: the platform never holds or moves the sale proceeds themselves — only its commission slice, invoiced and collected once the sale is confirmed.</w:t>
      </w:r>
    </w:p>
    <w:p>
      <w:pPr>
        <w:pStyle w:val="ListParagraph"/>
        <w:numPr>
          <w:ilvl w:val="0"/>
          <w:numId w:val="2"/>
        </w:numPr>
        <w:spacing w:after="80"/>
      </w:pPr>
      <w:r>
        <w:t xml:space="preserve">Protected by a signed procuring-cause commission clause at listing creation, rather than a deposit.</w:t>
      </w:r>
    </w:p>
    <w:p>
      <w:pPr>
        <w:pStyle w:val="Heading2"/>
        <w:spacing w:after="120" w:before="240"/>
      </w:pPr>
      <w:r>
        <w:t xml:space="preserve">C. Standard rental commission</w:t>
      </w:r>
    </w:p>
    <w:p>
      <w:pPr>
        <w:pStyle w:val="ListParagraph"/>
        <w:numPr>
          <w:ilvl w:val="0"/>
          <w:numId w:val="2"/>
        </w:numPr>
        <w:spacing w:after="80"/>
      </w:pPr>
      <w:r>
        <w:t xml:space="preserve">Nigerian convention: tenants customarily pay rent + agency fee (~10% of annual rent) + legal fee (~10%) + a refundable caution deposit.</w:t>
      </w:r>
    </w:p>
    <w:p>
      <w:pPr>
        <w:pStyle w:val="ListParagraph"/>
        <w:numPr>
          <w:ilvl w:val="0"/>
          <w:numId w:val="2"/>
        </w:numPr>
        <w:spacing w:after="80"/>
      </w:pPr>
      <w:r>
        <w:t xml:space="preserve">The platform's commission is positioned as a share of the existing agency fee — not a new charge layered on top — split between the platform and the agent who handled the viewing.</w:t>
      </w:r>
    </w:p>
    <w:p>
      <w:pPr>
        <w:pStyle w:val="Heading2"/>
        <w:spacing w:after="120" w:before="240"/>
      </w:pPr>
      <w:r>
        <w:t xml:space="preserve">D. Short-let commission (Phase 2)</w:t>
      </w:r>
    </w:p>
    <w:p>
      <w:pPr>
        <w:pStyle w:val="ListParagraph"/>
        <w:numPr>
          <w:ilvl w:val="0"/>
          <w:numId w:val="2"/>
        </w:numPr>
        <w:spacing w:after="80"/>
      </w:pPr>
      <w:r>
        <w:t xml:space="preserve">Guests pay the full stay amount upfront through Paystack at time of booking.</w:t>
      </w:r>
    </w:p>
    <w:p>
      <w:pPr>
        <w:pStyle w:val="ListParagraph"/>
        <w:numPr>
          <w:ilvl w:val="0"/>
          <w:numId w:val="2"/>
        </w:numPr>
        <w:spacing w:after="80"/>
      </w:pPr>
      <w:r>
        <w:t xml:space="preserve">Commission: 15% flat, charged to the host (Booking.com-style) — guests see no added fee, keeping listed rates competitive.</w:t>
      </w:r>
    </w:p>
    <w:p>
      <w:pPr>
        <w:pStyle w:val="ListParagraph"/>
        <w:numPr>
          <w:ilvl w:val="0"/>
          <w:numId w:val="2"/>
        </w:numPr>
        <w:spacing w:after="80"/>
      </w:pPr>
      <w:r>
        <w:t xml:space="preserve">Payouts route through Paystack's Split Payments / Subaccounts feature, so the platform never custodies guest or host funds directly.</w:t>
      </w:r>
    </w:p>
    <w:p>
      <w:pPr>
        <w:pStyle w:val="Heading1"/>
        <w:spacing w:after="160" w:before="320"/>
      </w:pPr>
      <w:r>
        <w:t xml:space="preserve">5. Trust &amp; Protection Mechanisms</w:t>
      </w:r>
    </w:p>
    <w:p>
      <w:pPr>
        <w:pStyle w:val="ListParagraph"/>
        <w:numPr>
          <w:ilvl w:val="0"/>
          <w:numId w:val="2"/>
        </w:numPr>
        <w:spacing w:after="80"/>
      </w:pPr>
      <w:r>
        <w:rPr>
          <w:b/>
          <w:bCs/>
        </w:rPr>
        <w:t xml:space="preserve">No payment before a confirmed viewing (sale/rental): </w:t>
      </w:r>
      <w:r>
        <w:t xml:space="preserve">the single rule that eliminates most documented Nigerian rental scam patterns.</w:t>
      </w:r>
    </w:p>
    <w:p>
      <w:pPr>
        <w:pStyle w:val="ListParagraph"/>
        <w:numPr>
          <w:ilvl w:val="0"/>
          <w:numId w:val="2"/>
        </w:numPr>
        <w:spacing w:after="80"/>
      </w:pPr>
      <w:r>
        <w:rPr>
          <w:b/>
          <w:bCs/>
        </w:rPr>
        <w:t xml:space="preserve">Verified agents, not just verified listings: </w:t>
      </w:r>
      <w:r>
        <w:t xml:space="preserve">every agent has a public profile — ID-verified, viewing completion rate, rating.</w:t>
      </w:r>
    </w:p>
    <w:p>
      <w:pPr>
        <w:pStyle w:val="ListParagraph"/>
        <w:numPr>
          <w:ilvl w:val="0"/>
          <w:numId w:val="2"/>
        </w:numPr>
        <w:spacing w:after="80"/>
      </w:pPr>
      <w:r>
        <w:rPr>
          <w:b/>
          <w:bCs/>
        </w:rPr>
        <w:t xml:space="preserve">Booking-lock mechanic: </w:t>
      </w:r>
      <w:r>
        <w:t xml:space="preserve">once a viewing is booked, the listing is flagged to other interested parties; once a deal closes, it auto-delists — prevents the multiple-tenant scam pattern.</w:t>
      </w:r>
    </w:p>
    <w:p>
      <w:pPr>
        <w:pStyle w:val="ListParagraph"/>
        <w:numPr>
          <w:ilvl w:val="0"/>
          <w:numId w:val="2"/>
        </w:numPr>
        <w:spacing w:after="80"/>
      </w:pPr>
      <w:r>
        <w:rPr>
          <w:b/>
          <w:bCs/>
        </w:rPr>
        <w:t xml:space="preserve">Manual review of every listing </w:t>
      </w:r>
      <w:r>
        <w:t xml:space="preserve">before it goes live — non-negotiable at MVP stage.</w:t>
      </w:r>
    </w:p>
    <w:p>
      <w:pPr>
        <w:pStyle w:val="ListParagraph"/>
        <w:numPr>
          <w:ilvl w:val="0"/>
          <w:numId w:val="2"/>
        </w:numPr>
        <w:spacing w:after="80"/>
      </w:pPr>
      <w:r>
        <w:rPr>
          <w:b/>
          <w:bCs/>
        </w:rPr>
        <w:t xml:space="preserve">Legal posture: </w:t>
      </w:r>
      <w:r>
        <w:t xml:space="preserve">the platform positions itself as a marketplace/facilitator, not a party to any transaction — the same posture Airbnb, Zillow, and PropertyFinder all take. Agents are independent contractors, not employees.</w:t>
      </w:r>
    </w:p>
    <w:p>
      <w:pPr>
        <w:pStyle w:val="ListParagraph"/>
        <w:numPr>
          <w:ilvl w:val="0"/>
          <w:numId w:val="2"/>
        </w:numPr>
        <w:spacing w:after="80"/>
      </w:pPr>
      <w:r>
        <w:rPr>
          <w:b/>
          <w:bCs/>
        </w:rPr>
        <w:t xml:space="preserve">Data protection: </w:t>
      </w:r>
      <w:r>
        <w:t xml:space="preserve">user data (ID documents, phone numbers, payment references) is handled under the Nigeria Data Protection Regulation (NDPR), with a privacy policy and access-controlled storage for verification documents.</w:t>
      </w:r>
    </w:p>
    <w:p>
      <w:pPr>
        <w:pStyle w:val="Heading1"/>
        <w:spacing w:after="160" w:before="320"/>
      </w:pPr>
      <w:r>
        <w:t xml:space="preserve">6. Technology &amp; Build Approach</w:t>
      </w:r>
    </w:p>
    <w:p>
      <w:pPr>
        <w:pStyle w:val="Heading2"/>
        <w:spacing w:after="120" w:before="240"/>
      </w:pPr>
      <w:r>
        <w:t xml:space="preserve">6.1 Build constraint: fully free stack</w:t>
      </w:r>
    </w:p>
    <w:p>
      <w:pPr>
        <w:spacing w:after="160"/>
      </w:pPr>
      <w:r>
        <w:t xml:space="preserve">Every tool runs on its free tier through launch and early usage — zero cash spend until the platform has earned its own money to reinvest. Key substitutions from an initial paid-tier assumption: WhatsApp Business Cloud API replaces SMS (Termii has no free tier, WhatsApp does, and matches how Nigerians already do real estate); Leaflet + OpenStreetMap replaces Mapbox for an uncapped free map layer; domain registration is deferred until the platform is ready to market publicly, launching first on a free subdomain.</w:t>
      </w:r>
    </w:p>
    <w:p>
      <w:pPr>
        <w:pStyle w:val="Heading2"/>
        <w:spacing w:after="120" w:before="240"/>
      </w:pPr>
      <w:r>
        <w:t xml:space="preserve">6.2 Build order</w:t>
      </w:r>
    </w:p>
    <w:p>
      <w:pPr>
        <w:spacing w:after="160"/>
      </w:pPr>
      <w:r>
        <w:t xml:space="preserve">The Realty Marketplace is being built first and exclusively (an earlier plan to build a smaller e-commerce project first, to establish reusable patterns, was set aside in favor of building the realty platform directly). An early validation checkpoint is still built in: the Paystack listing-fee payment — the simplest payment flow in the build — is stood up and tested end-to-end early, before the harder deal/commission logic is built.</w:t>
      </w:r>
    </w:p>
    <w:p>
      <w:pPr>
        <w:pStyle w:val="Heading2"/>
        <w:spacing w:after="120" w:before="240"/>
      </w:pPr>
      <w:r>
        <w:t xml:space="preserve">6.3 Build phases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8500"/>
      </w:tblGrid>
      <w:tr>
        <w:trPr>
          <w:tblHeader/>
        </w:trPr>
        <w:tc>
          <w:tcPr>
            <w:tcW w:type="dxa" w:w="1500"/>
            <w:shd w:fill="1F4E78" w:val="clear"/>
            <w:tcMar>
              <w:top w:type="dxa" w:w="100"/>
              <w:left w:type="dxa" w:w="120"/>
              <w:bottom w:type="dxa" w:w="100"/>
              <w:right w:type="dxa" w:w="120"/>
            </w:tcMar>
          </w:tcPr>
          <w:p>
            <w:r>
              <w:rPr>
                <w:b/>
                <w:bCs/>
                <w:color w:val="FFFFFF"/>
                <w:sz w:val="20"/>
                <w:szCs w:val="20"/>
              </w:rPr>
              <w:t xml:space="preserve">Phase</w:t>
            </w:r>
          </w:p>
        </w:tc>
        <w:tc>
          <w:tcPr>
            <w:tcW w:type="dxa" w:w="8500"/>
            <w:shd w:fill="1F4E78" w:val="clear"/>
            <w:tcMar>
              <w:top w:type="dxa" w:w="100"/>
              <w:left w:type="dxa" w:w="120"/>
              <w:bottom w:type="dxa" w:w="100"/>
              <w:right w:type="dxa" w:w="120"/>
            </w:tcMar>
          </w:tcPr>
          <w:p>
            <w:r>
              <w:rPr>
                <w:b/>
                <w:bCs/>
                <w:color w:val="FFFFFF"/>
                <w:sz w:val="20"/>
                <w:szCs w:val="20"/>
              </w:rPr>
              <w:t xml:space="preserve">Milestone</w:t>
            </w:r>
          </w:p>
        </w:tc>
      </w:tr>
      <w:tr>
        <w:tc>
          <w:tcPr>
            <w:tcW w:type="dxa" w:w="1500"/>
            <w:tcMar>
              <w:top w:type="dxa" w:w="100"/>
              <w:left w:type="dxa" w:w="120"/>
              <w:bottom w:type="dxa" w:w="100"/>
              <w:right w:type="dxa" w:w="120"/>
            </w:tcMar>
          </w:tcPr>
          <w:p>
            <w:r>
              <w:rPr>
                <w:b w:val="false"/>
                <w:bCs w:val="false"/>
                <w:color w:val="000000"/>
                <w:sz w:val="20"/>
                <w:szCs w:val="20"/>
              </w:rPr>
              <w:t xml:space="preserve">1</w:t>
            </w:r>
          </w:p>
        </w:tc>
        <w:tc>
          <w:tcPr>
            <w:tcW w:type="dxa" w:w="8500"/>
            <w:tcMar>
              <w:top w:type="dxa" w:w="100"/>
              <w:left w:type="dxa" w:w="120"/>
              <w:bottom w:type="dxa" w:w="100"/>
              <w:right w:type="dxa" w:w="120"/>
            </w:tcMar>
          </w:tcPr>
          <w:p>
            <w:r>
              <w:rPr>
                <w:b w:val="false"/>
                <w:bCs w:val="false"/>
                <w:color w:val="000000"/>
                <w:sz w:val="20"/>
                <w:szCs w:val="20"/>
              </w:rPr>
              <w:t xml:space="preserve">Foundation — authentication, user roles, core data model, PWA manifest + basic service worker</w:t>
            </w:r>
          </w:p>
        </w:tc>
      </w:tr>
      <w:tr>
        <w:tc>
          <w:tcPr>
            <w:tcW w:type="dxa" w:w="1500"/>
            <w:tcMar>
              <w:top w:type="dxa" w:w="100"/>
              <w:left w:type="dxa" w:w="120"/>
              <w:bottom w:type="dxa" w:w="100"/>
              <w:right w:type="dxa" w:w="120"/>
            </w:tcMar>
          </w:tcPr>
          <w:p>
            <w:r>
              <w:rPr>
                <w:b w:val="false"/>
                <w:bCs w:val="false"/>
                <w:color w:val="000000"/>
                <w:sz w:val="20"/>
                <w:szCs w:val="20"/>
              </w:rPr>
              <w:t xml:space="preserve">2</w:t>
            </w:r>
          </w:p>
        </w:tc>
        <w:tc>
          <w:tcPr>
            <w:tcW w:type="dxa" w:w="8500"/>
            <w:tcMar>
              <w:top w:type="dxa" w:w="100"/>
              <w:left w:type="dxa" w:w="120"/>
              <w:bottom w:type="dxa" w:w="100"/>
              <w:right w:type="dxa" w:w="120"/>
            </w:tcMar>
          </w:tcPr>
          <w:p>
            <w:r>
              <w:rPr>
                <w:b w:val="false"/>
                <w:bCs w:val="false"/>
                <w:color w:val="000000"/>
                <w:sz w:val="20"/>
                <w:szCs w:val="20"/>
              </w:rPr>
              <w:t xml:space="preserve">Listings — create, pay listing fee, manual review, publish</w:t>
            </w:r>
          </w:p>
        </w:tc>
      </w:tr>
      <w:tr>
        <w:tc>
          <w:tcPr>
            <w:tcW w:type="dxa" w:w="1500"/>
            <w:tcMar>
              <w:top w:type="dxa" w:w="100"/>
              <w:left w:type="dxa" w:w="120"/>
              <w:bottom w:type="dxa" w:w="100"/>
              <w:right w:type="dxa" w:w="120"/>
            </w:tcMar>
          </w:tcPr>
          <w:p>
            <w:r>
              <w:rPr>
                <w:b w:val="false"/>
                <w:bCs w:val="false"/>
                <w:color w:val="000000"/>
                <w:sz w:val="20"/>
                <w:szCs w:val="20"/>
              </w:rPr>
              <w:t xml:space="preserve">3</w:t>
            </w:r>
          </w:p>
        </w:tc>
        <w:tc>
          <w:tcPr>
            <w:tcW w:type="dxa" w:w="8500"/>
            <w:tcMar>
              <w:top w:type="dxa" w:w="100"/>
              <w:left w:type="dxa" w:w="120"/>
              <w:bottom w:type="dxa" w:w="100"/>
              <w:right w:type="dxa" w:w="120"/>
            </w:tcMar>
          </w:tcPr>
          <w:p>
            <w:r>
              <w:rPr>
                <w:b w:val="false"/>
                <w:bCs w:val="false"/>
                <w:color w:val="000000"/>
                <w:sz w:val="20"/>
                <w:szCs w:val="20"/>
              </w:rPr>
              <w:t xml:space="preserve">Search + map view</w:t>
            </w:r>
          </w:p>
        </w:tc>
      </w:tr>
      <w:tr>
        <w:tc>
          <w:tcPr>
            <w:tcW w:type="dxa" w:w="1500"/>
            <w:tcMar>
              <w:top w:type="dxa" w:w="100"/>
              <w:left w:type="dxa" w:w="120"/>
              <w:bottom w:type="dxa" w:w="100"/>
              <w:right w:type="dxa" w:w="120"/>
            </w:tcMar>
          </w:tcPr>
          <w:p>
            <w:r>
              <w:rPr>
                <w:b w:val="false"/>
                <w:bCs w:val="false"/>
                <w:color w:val="000000"/>
                <w:sz w:val="20"/>
                <w:szCs w:val="20"/>
              </w:rPr>
              <w:t xml:space="preserve">4</w:t>
            </w:r>
          </w:p>
        </w:tc>
        <w:tc>
          <w:tcPr>
            <w:tcW w:type="dxa" w:w="8500"/>
            <w:tcMar>
              <w:top w:type="dxa" w:w="100"/>
              <w:left w:type="dxa" w:w="120"/>
              <w:bottom w:type="dxa" w:w="100"/>
              <w:right w:type="dxa" w:w="120"/>
            </w:tcMar>
          </w:tcPr>
          <w:p>
            <w:r>
              <w:rPr>
                <w:b w:val="false"/>
                <w:bCs w:val="false"/>
                <w:color w:val="000000"/>
                <w:sz w:val="20"/>
                <w:szCs w:val="20"/>
              </w:rPr>
              <w:t xml:space="preserve">Bookings + agent assignment</w:t>
            </w:r>
          </w:p>
        </w:tc>
      </w:tr>
      <w:tr>
        <w:tc>
          <w:tcPr>
            <w:tcW w:type="dxa" w:w="1500"/>
            <w:tcMar>
              <w:top w:type="dxa" w:w="100"/>
              <w:left w:type="dxa" w:w="120"/>
              <w:bottom w:type="dxa" w:w="100"/>
              <w:right w:type="dxa" w:w="120"/>
            </w:tcMar>
          </w:tcPr>
          <w:p>
            <w:r>
              <w:rPr>
                <w:b w:val="false"/>
                <w:bCs w:val="false"/>
                <w:color w:val="000000"/>
                <w:sz w:val="20"/>
                <w:szCs w:val="20"/>
              </w:rPr>
              <w:t xml:space="preserve">5</w:t>
            </w:r>
          </w:p>
        </w:tc>
        <w:tc>
          <w:tcPr>
            <w:tcW w:type="dxa" w:w="8500"/>
            <w:tcMar>
              <w:top w:type="dxa" w:w="100"/>
              <w:left w:type="dxa" w:w="120"/>
              <w:bottom w:type="dxa" w:w="100"/>
              <w:right w:type="dxa" w:w="120"/>
            </w:tcMar>
          </w:tcPr>
          <w:p>
            <w:r>
              <w:rPr>
                <w:b w:val="false"/>
                <w:bCs w:val="false"/>
                <w:color w:val="000000"/>
                <w:sz w:val="20"/>
                <w:szCs w:val="20"/>
              </w:rPr>
              <w:t xml:space="preserve">Deals + commission tracking (invoice model)</w:t>
            </w:r>
          </w:p>
        </w:tc>
      </w:tr>
      <w:tr>
        <w:tc>
          <w:tcPr>
            <w:tcW w:type="dxa" w:w="1500"/>
            <w:tcMar>
              <w:top w:type="dxa" w:w="100"/>
              <w:left w:type="dxa" w:w="120"/>
              <w:bottom w:type="dxa" w:w="100"/>
              <w:right w:type="dxa" w:w="120"/>
            </w:tcMar>
          </w:tcPr>
          <w:p>
            <w:r>
              <w:rPr>
                <w:b w:val="false"/>
                <w:bCs w:val="false"/>
                <w:color w:val="000000"/>
                <w:sz w:val="20"/>
                <w:szCs w:val="20"/>
              </w:rPr>
              <w:t xml:space="preserve">6</w:t>
            </w:r>
          </w:p>
        </w:tc>
        <w:tc>
          <w:tcPr>
            <w:tcW w:type="dxa" w:w="8500"/>
            <w:tcMar>
              <w:top w:type="dxa" w:w="100"/>
              <w:left w:type="dxa" w:w="120"/>
              <w:bottom w:type="dxa" w:w="100"/>
              <w:right w:type="dxa" w:w="120"/>
            </w:tcMar>
          </w:tcPr>
          <w:p>
            <w:r>
              <w:rPr>
                <w:b w:val="false"/>
                <w:bCs w:val="false"/>
                <w:color w:val="000000"/>
                <w:sz w:val="20"/>
                <w:szCs w:val="20"/>
              </w:rPr>
              <w:t xml:space="preserve">Admin + trust/moderation tools</w:t>
            </w:r>
          </w:p>
        </w:tc>
      </w:tr>
      <w:tr>
        <w:tc>
          <w:tcPr>
            <w:tcW w:type="dxa" w:w="1500"/>
            <w:tcMar>
              <w:top w:type="dxa" w:w="100"/>
              <w:left w:type="dxa" w:w="120"/>
              <w:bottom w:type="dxa" w:w="100"/>
              <w:right w:type="dxa" w:w="120"/>
            </w:tcMar>
          </w:tcPr>
          <w:p>
            <w:r>
              <w:rPr>
                <w:b w:val="false"/>
                <w:bCs w:val="false"/>
                <w:color w:val="000000"/>
                <w:sz w:val="20"/>
                <w:szCs w:val="20"/>
              </w:rPr>
              <w:t xml:space="preserve">7</w:t>
            </w:r>
          </w:p>
        </w:tc>
        <w:tc>
          <w:tcPr>
            <w:tcW w:type="dxa" w:w="8500"/>
            <w:tcMar>
              <w:top w:type="dxa" w:w="100"/>
              <w:left w:type="dxa" w:w="120"/>
              <w:bottom w:type="dxa" w:w="100"/>
              <w:right w:type="dxa" w:w="120"/>
            </w:tcMar>
          </w:tcPr>
          <w:p>
            <w:r>
              <w:rPr>
                <w:b w:val="false"/>
                <w:bCs w:val="false"/>
                <w:color w:val="000000"/>
                <w:sz w:val="20"/>
                <w:szCs w:val="20"/>
              </w:rPr>
              <w:t xml:space="preserve">Set up automated backups (blocking prerequisite — see 10.6) → PWA offline-caching polish → seed real listings (Abuja) → soft launch</w:t>
            </w:r>
          </w:p>
        </w:tc>
      </w:tr>
    </w:tbl>
    <w:p>
      <w:pPr>
        <w:pStyle w:val="Heading2"/>
        <w:spacing w:after="120" w:before="240"/>
      </w:pPr>
      <w:r>
        <w:t xml:space="preserve">6.4 Mobile strategy: PWA now, native app later</w:t>
      </w:r>
    </w:p>
    <w:p>
      <w:pPr>
        <w:spacing w:after="160"/>
      </w:pPr>
      <w:r>
        <w:t xml:space="preserve">The platform ships as a Progressive Web App rather than a native iOS/Android app at launch — no separate codebase, no app-store fees, and it fits the free-build constraint directly. A PWA adds three things on top of the web app already being built: a manifest file (app name, icon, colors, standalone display), a service worker (caches the app shell so repeat visits load instantly even on a weak connection), and HTTPS, which Vercel already provides automatically. On Android, Chrome prompts users to add it to their home screen; on iOS, the user adds it manually via Share → Add to Home Screen — a real but minor piece of friction Apple doesn't remove.</w:t>
      </w:r>
    </w:p>
    <w:p>
      <w:pPr>
        <w:spacing w:after="160"/>
      </w:pPr>
      <w:r>
        <w:t xml:space="preserve">This isn't a novel approach for the category. Housing.com — a real estate marketplace covering 35+ Indian cities — built a PWA for the same reason driving this decision: costly mobile data meant users weren't downloading the native app as often as expected, so the PWA let people browse listings straight from the browser, arriving at 140KB versus an Android app 54 times larger. Airbnb rebuilt as a PWA after finding its original mobile site took over 13 seconds to load on 4G; OLX, a classifieds marketplace with a similar listing-browse-contact structure to this platform, cut bounce rate 80% after launching its PWA across India, Brazil, and Southeast Asia, partly through offline browsing of saved listings — a feature worth borrowing directly given the connection conditions in the target market.</w:t>
      </w:r>
    </w:p>
    <w:p>
      <w:pPr>
        <w:spacing w:after="160"/>
      </w:pPr>
      <w:r>
        <w:rPr>
          <w:b/>
          <w:bCs/>
        </w:rPr>
        <w:t xml:space="preserve">Decision: </w:t>
      </w:r>
      <w:r>
        <w:t xml:space="preserve">native app (React Native via Expo, chosen so the React/Next.js skills built here carry over directly) is deferred to a funded Phase 3 once real commission revenue exists to cover the $99/year Apple Developer Program fee and $25 one-time Google Play fee — the one cost in the entire mobile strategy that free tooling cannot eliminate.</w:t>
      </w:r>
    </w:p>
    <w:p>
      <w:pPr>
        <w:pStyle w:val="Heading1"/>
        <w:spacing w:after="160" w:before="320"/>
      </w:pPr>
      <w:r>
        <w:t xml:space="preserve">7. Contingencies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1F4E78" w:val="clear"/>
            <w:tcMar>
              <w:top w:type="dxa" w:w="100"/>
              <w:left w:type="dxa" w:w="120"/>
              <w:bottom w:type="dxa" w:w="100"/>
              <w:right w:type="dxa" w:w="120"/>
            </w:tcMar>
          </w:tcPr>
          <w:p>
            <w:r>
              <w:rPr>
                <w:b/>
                <w:bCs/>
                <w:color w:val="FFFFFF"/>
                <w:sz w:val="20"/>
                <w:szCs w:val="20"/>
              </w:rPr>
              <w:t xml:space="preserve">Scenario</w:t>
            </w:r>
          </w:p>
        </w:tc>
        <w:tc>
          <w:tcPr>
            <w:tcW w:type="dxa" w:w="6400"/>
            <w:shd w:fill="1F4E78" w:val="clear"/>
            <w:tcMar>
              <w:top w:type="dxa" w:w="100"/>
              <w:left w:type="dxa" w:w="120"/>
              <w:bottom w:type="dxa" w:w="100"/>
              <w:right w:type="dxa" w:w="120"/>
            </w:tcMar>
          </w:tcPr>
          <w:p>
            <w:r>
              <w:rPr>
                <w:b/>
                <w:bCs/>
                <w:color w:val="FFFFFF"/>
                <w:sz w:val="20"/>
                <w:szCs w:val="20"/>
              </w:rPr>
              <w:t xml:space="preserve">Response</w:t>
            </w:r>
          </w:p>
        </w:tc>
      </w:tr>
      <w:tr>
        <w:tc>
          <w:tcPr>
            <w:tcW w:type="dxa" w:w="3600"/>
            <w:tcMar>
              <w:top w:type="dxa" w:w="100"/>
              <w:left w:type="dxa" w:w="120"/>
              <w:bottom w:type="dxa" w:w="100"/>
              <w:right w:type="dxa" w:w="120"/>
            </w:tcMar>
          </w:tcPr>
          <w:p>
            <w:r>
              <w:rPr>
                <w:b w:val="false"/>
                <w:bCs w:val="false"/>
                <w:color w:val="000000"/>
                <w:sz w:val="20"/>
                <w:szCs w:val="20"/>
              </w:rPr>
              <w:t xml:space="preserve">Fraudulent listing slips past review</w:t>
            </w:r>
          </w:p>
        </w:tc>
        <w:tc>
          <w:tcPr>
            <w:tcW w:type="dxa" w:w="6400"/>
            <w:tcMar>
              <w:top w:type="dxa" w:w="100"/>
              <w:left w:type="dxa" w:w="120"/>
              <w:bottom w:type="dxa" w:w="100"/>
              <w:right w:type="dxa" w:w="120"/>
            </w:tcMar>
          </w:tcPr>
          <w:p>
            <w:r>
              <w:rPr>
                <w:b w:val="false"/>
                <w:bCs w:val="false"/>
                <w:color w:val="000000"/>
                <w:sz w:val="20"/>
                <w:szCs w:val="20"/>
              </w:rPr>
              <w:t xml:space="preserve">Immediate takedown, refund listing fee, ban account, notify affected users</w:t>
            </w:r>
          </w:p>
        </w:tc>
      </w:tr>
      <w:tr>
        <w:tc>
          <w:tcPr>
            <w:tcW w:type="dxa" w:w="3600"/>
            <w:tcMar>
              <w:top w:type="dxa" w:w="100"/>
              <w:left w:type="dxa" w:w="120"/>
              <w:bottom w:type="dxa" w:w="100"/>
              <w:right w:type="dxa" w:w="120"/>
            </w:tcMar>
          </w:tcPr>
          <w:p>
            <w:r>
              <w:rPr>
                <w:b w:val="false"/>
                <w:bCs w:val="false"/>
                <w:color w:val="000000"/>
                <w:sz w:val="20"/>
                <w:szCs w:val="20"/>
              </w:rPr>
              <w:t xml:space="preserve">Landlord/agent tries to close off-platform to dodge commission</w:t>
            </w:r>
          </w:p>
        </w:tc>
        <w:tc>
          <w:tcPr>
            <w:tcW w:type="dxa" w:w="6400"/>
            <w:tcMar>
              <w:top w:type="dxa" w:w="100"/>
              <w:left w:type="dxa" w:w="120"/>
              <w:bottom w:type="dxa" w:w="100"/>
              <w:right w:type="dxa" w:w="120"/>
            </w:tcMar>
          </w:tcPr>
          <w:p>
            <w:r>
              <w:rPr>
                <w:b w:val="false"/>
                <w:bCs w:val="false"/>
                <w:color w:val="000000"/>
                <w:sz w:val="20"/>
                <w:szCs w:val="20"/>
              </w:rPr>
              <w:t xml:space="preserve">Signed commission clause, agent's own financial stake in the deal, and loss of future platform access as consequences</w:t>
            </w:r>
          </w:p>
        </w:tc>
      </w:tr>
      <w:tr>
        <w:tc>
          <w:tcPr>
            <w:tcW w:type="dxa" w:w="3600"/>
            <w:tcMar>
              <w:top w:type="dxa" w:w="100"/>
              <w:left w:type="dxa" w:w="120"/>
              <w:bottom w:type="dxa" w:w="100"/>
              <w:right w:type="dxa" w:w="120"/>
            </w:tcMar>
          </w:tcPr>
          <w:p>
            <w:r>
              <w:rPr>
                <w:b w:val="false"/>
                <w:bCs w:val="false"/>
                <w:color w:val="000000"/>
                <w:sz w:val="20"/>
                <w:szCs w:val="20"/>
              </w:rPr>
              <w:t xml:space="preserve">Multiple renters interested in the same listing simultaneously</w:t>
            </w:r>
          </w:p>
        </w:tc>
        <w:tc>
          <w:tcPr>
            <w:tcW w:type="dxa" w:w="6400"/>
            <w:tcMar>
              <w:top w:type="dxa" w:w="100"/>
              <w:left w:type="dxa" w:w="120"/>
              <w:bottom w:type="dxa" w:w="100"/>
              <w:right w:type="dxa" w:w="120"/>
            </w:tcMar>
          </w:tcPr>
          <w:p>
            <w:r>
              <w:rPr>
                <w:b w:val="false"/>
                <w:bCs w:val="false"/>
                <w:color w:val="000000"/>
                <w:sz w:val="20"/>
                <w:szCs w:val="20"/>
              </w:rPr>
              <w:t xml:space="preserve">Booking-lock mechanic flags the listing once a viewing is scheduled; auto-delists on close</w:t>
            </w:r>
          </w:p>
        </w:tc>
      </w:tr>
      <w:tr>
        <w:tc>
          <w:tcPr>
            <w:tcW w:type="dxa" w:w="3600"/>
            <w:tcMar>
              <w:top w:type="dxa" w:w="100"/>
              <w:left w:type="dxa" w:w="120"/>
              <w:bottom w:type="dxa" w:w="100"/>
              <w:right w:type="dxa" w:w="120"/>
            </w:tcMar>
          </w:tcPr>
          <w:p>
            <w:r>
              <w:rPr>
                <w:b w:val="false"/>
                <w:bCs w:val="false"/>
                <w:color w:val="000000"/>
                <w:sz w:val="20"/>
                <w:szCs w:val="20"/>
              </w:rPr>
              <w:t xml:space="preserve">Payment dispute / chargeback</w:t>
            </w:r>
          </w:p>
        </w:tc>
        <w:tc>
          <w:tcPr>
            <w:tcW w:type="dxa" w:w="6400"/>
            <w:tcMar>
              <w:top w:type="dxa" w:w="100"/>
              <w:left w:type="dxa" w:w="120"/>
              <w:bottom w:type="dxa" w:w="100"/>
              <w:right w:type="dxa" w:w="120"/>
            </w:tcMar>
          </w:tcPr>
          <w:p>
            <w:r>
              <w:rPr>
                <w:b w:val="false"/>
                <w:bCs w:val="false"/>
                <w:color w:val="000000"/>
                <w:sz w:val="20"/>
                <w:szCs w:val="20"/>
              </w:rPr>
              <w:t xml:space="preserve">Handled through Paystack's dispute process, with booking and verification records as evidence trail</w:t>
            </w:r>
          </w:p>
        </w:tc>
      </w:tr>
      <w:tr>
        <w:tc>
          <w:tcPr>
            <w:tcW w:type="dxa" w:w="3600"/>
            <w:tcMar>
              <w:top w:type="dxa" w:w="100"/>
              <w:left w:type="dxa" w:w="120"/>
              <w:bottom w:type="dxa" w:w="100"/>
              <w:right w:type="dxa" w:w="120"/>
            </w:tcMar>
          </w:tcPr>
          <w:p>
            <w:r>
              <w:rPr>
                <w:b w:val="false"/>
                <w:bCs w:val="false"/>
                <w:color w:val="000000"/>
                <w:sz w:val="20"/>
                <w:szCs w:val="20"/>
              </w:rPr>
              <w:t xml:space="preserve">Agent no-show at a scheduled viewing</w:t>
            </w:r>
          </w:p>
        </w:tc>
        <w:tc>
          <w:tcPr>
            <w:tcW w:type="dxa" w:w="6400"/>
            <w:tcMar>
              <w:top w:type="dxa" w:w="100"/>
              <w:left w:type="dxa" w:w="120"/>
              <w:bottom w:type="dxa" w:w="100"/>
              <w:right w:type="dxa" w:w="120"/>
            </w:tcMar>
          </w:tcPr>
          <w:p>
            <w:r>
              <w:rPr>
                <w:b w:val="false"/>
                <w:bCs w:val="false"/>
                <w:color w:val="000000"/>
                <w:sz w:val="20"/>
                <w:szCs w:val="20"/>
              </w:rPr>
              <w:t xml:space="preserve">Tracked in agent profile, repeated no-shows trigger deactivation</w:t>
            </w:r>
          </w:p>
        </w:tc>
      </w:tr>
      <w:tr>
        <w:tc>
          <w:tcPr>
            <w:tcW w:type="dxa" w:w="3600"/>
            <w:tcMar>
              <w:top w:type="dxa" w:w="100"/>
              <w:left w:type="dxa" w:w="120"/>
              <w:bottom w:type="dxa" w:w="100"/>
              <w:right w:type="dxa" w:w="120"/>
            </w:tcMar>
          </w:tcPr>
          <w:p>
            <w:r>
              <w:rPr>
                <w:b w:val="false"/>
                <w:bCs w:val="false"/>
                <w:color w:val="000000"/>
                <w:sz w:val="20"/>
                <w:szCs w:val="20"/>
              </w:rPr>
              <w:t xml:space="preserve">Forged property documents (sale side)</w:t>
            </w:r>
          </w:p>
        </w:tc>
        <w:tc>
          <w:tcPr>
            <w:tcW w:type="dxa" w:w="6400"/>
            <w:tcMar>
              <w:top w:type="dxa" w:w="100"/>
              <w:left w:type="dxa" w:w="120"/>
              <w:bottom w:type="dxa" w:w="100"/>
              <w:right w:type="dxa" w:w="120"/>
            </w:tcMar>
          </w:tcPr>
          <w:p>
            <w:r>
              <w:rPr>
                <w:b w:val="false"/>
                <w:bCs w:val="false"/>
                <w:color w:val="000000"/>
                <w:sz w:val="20"/>
                <w:szCs w:val="20"/>
              </w:rPr>
              <w:t xml:space="preserve">Platform discloses documents are “provided, not independently verified” until state land bureau relationships exist</w:t>
            </w:r>
          </w:p>
        </w:tc>
      </w:tr>
      <w:tr>
        <w:tc>
          <w:tcPr>
            <w:tcW w:type="dxa" w:w="3600"/>
            <w:tcMar>
              <w:top w:type="dxa" w:w="100"/>
              <w:left w:type="dxa" w:w="120"/>
              <w:bottom w:type="dxa" w:w="100"/>
              <w:right w:type="dxa" w:w="120"/>
            </w:tcMar>
          </w:tcPr>
          <w:p>
            <w:r>
              <w:rPr>
                <w:b w:val="false"/>
                <w:bCs w:val="false"/>
                <w:color w:val="000000"/>
                <w:sz w:val="20"/>
                <w:szCs w:val="20"/>
              </w:rPr>
              <w:t xml:space="preserve">Data breach</w:t>
            </w:r>
          </w:p>
        </w:tc>
        <w:tc>
          <w:tcPr>
            <w:tcW w:type="dxa" w:w="6400"/>
            <w:tcMar>
              <w:top w:type="dxa" w:w="100"/>
              <w:left w:type="dxa" w:w="120"/>
              <w:bottom w:type="dxa" w:w="100"/>
              <w:right w:type="dxa" w:w="120"/>
            </w:tcMar>
          </w:tcPr>
          <w:p>
            <w:r>
              <w:rPr>
                <w:b w:val="false"/>
                <w:bCs w:val="false"/>
                <w:color w:val="000000"/>
                <w:sz w:val="20"/>
                <w:szCs w:val="20"/>
              </w:rPr>
              <w:t xml:space="preserve">Basic incident response plan in place ahead of scale; NDPR requires breach notification</w:t>
            </w:r>
          </w:p>
        </w:tc>
      </w:tr>
    </w:tbl>
    <w:p>
      <w:pPr>
        <w:pStyle w:val="Heading1"/>
        <w:spacing w:after="160" w:before="320"/>
      </w:pPr>
      <w:r>
        <w:t xml:space="preserve">8. Growth Mechanics (zero cash cost)</w:t>
      </w:r>
    </w:p>
    <w:p>
      <w:pPr>
        <w:pStyle w:val="ListParagraph"/>
        <w:numPr>
          <w:ilvl w:val="0"/>
          <w:numId w:val="2"/>
        </w:numPr>
        <w:spacing w:after="80"/>
      </w:pPr>
      <w:r>
        <w:rPr>
          <w:b/>
          <w:bCs/>
        </w:rPr>
        <w:t xml:space="preserve">Agent leaderboard: </w:t>
      </w:r>
      <w:r>
        <w:t xml:space="preserve">public ranking by response time, completion rate, and rating — built from data the platform already has.</w:t>
      </w:r>
    </w:p>
    <w:p>
      <w:pPr>
        <w:pStyle w:val="ListParagraph"/>
        <w:numPr>
          <w:ilvl w:val="0"/>
          <w:numId w:val="2"/>
        </w:numPr>
        <w:spacing w:after="80"/>
      </w:pPr>
      <w:r>
        <w:rPr>
          <w:b/>
          <w:bCs/>
        </w:rPr>
        <w:t xml:space="preserve">Referral incentives, paid from commission: </w:t>
      </w:r>
      <w:r>
        <w:t xml:space="preserve">landlord-refers-landlord discounts and agent-refers-landlord bonus shares, both funded from money already collected.</w:t>
      </w:r>
    </w:p>
    <w:p>
      <w:pPr>
        <w:pStyle w:val="ListParagraph"/>
        <w:numPr>
          <w:ilvl w:val="0"/>
          <w:numId w:val="2"/>
        </w:numPr>
        <w:spacing w:after="80"/>
      </w:pPr>
      <w:r>
        <w:rPr>
          <w:b/>
          <w:bCs/>
        </w:rPr>
        <w:t xml:space="preserve">Diaspora positioning: </w:t>
      </w:r>
      <w:r>
        <w:t xml:space="preserve">diaspora Nigerians are disproportionately targeted by real estate scams and are a natural fit given the founder's existing NIPC/FACAN network — a specific, defensible marketing angle.</w:t>
      </w:r>
    </w:p>
    <w:p>
      <w:pPr>
        <w:pStyle w:val="Heading1"/>
        <w:spacing w:after="160" w:before="320"/>
      </w:pPr>
      <w:r>
        <w:t xml:space="preserve">10. Technical Operations: Data, Errors, Authentication &amp; Reliability</w:t>
      </w:r>
    </w:p>
    <w:p>
      <w:pPr>
        <w:spacing w:after="160"/>
      </w:pPr>
      <w:r>
        <w:t xml:space="preserve">This section covers how the platform handles authentication, data integrity, errors, debugging, and disaster recovery in practice — the operational detail behind “we're covered,” not just the intent.</w:t>
      </w:r>
    </w:p>
    <w:p>
      <w:pPr>
        <w:pStyle w:val="Heading2"/>
        <w:spacing w:after="120" w:before="240"/>
      </w:pPr>
      <w:r>
        <w:t xml:space="preserve">10.1 Authentication &amp; Authorization</w:t>
      </w:r>
    </w:p>
    <w:p>
      <w:pPr>
        <w:pStyle w:val="ListParagraph"/>
        <w:numPr>
          <w:ilvl w:val="0"/>
          <w:numId w:val="2"/>
        </w:numPr>
        <w:spacing w:after="80"/>
      </w:pPr>
      <w:r>
        <w:rPr>
          <w:b/>
          <w:bCs/>
        </w:rPr>
        <w:t xml:space="preserve">Authentication: </w:t>
      </w:r>
      <w:r>
        <w:t xml:space="preserve">Supabase Auth handles email/password sign-up and login, plus phone-based OTP verification for agents and landlords at verification time. Sessions use short-lived JWTs with automatic refresh tokens — Supabase manages token rotation, so sessions don't need to be built from scratch.</w:t>
      </w:r>
    </w:p>
    <w:p>
      <w:pPr>
        <w:pStyle w:val="ListParagraph"/>
        <w:numPr>
          <w:ilvl w:val="0"/>
          <w:numId w:val="2"/>
        </w:numPr>
        <w:spacing w:after="80"/>
      </w:pPr>
      <w:r>
        <w:rPr>
          <w:b/>
          <w:bCs/>
        </w:rPr>
        <w:t xml:space="preserve">Authorization — defense in depth: </w:t>
      </w:r>
      <w:r>
        <w:t xml:space="preserve">role checks exist at two layers, not one. The app UI hides actions a user shouldn't see, but the real enforcement is Row Level Security (RLS) policies at the database level — a landlord literally cannot query another landlord's listings, an agent cannot see bookings they're not assigned to, regardless of what the frontend does. This matters because UI-only restrictions can be bypassed by anyone who calls the API directly; database-level RLS cannot.</w:t>
      </w:r>
    </w:p>
    <w:p>
      <w:pPr>
        <w:pStyle w:val="ListParagraph"/>
        <w:numPr>
          <w:ilvl w:val="0"/>
          <w:numId w:val="2"/>
        </w:numPr>
        <w:spacing w:after="80"/>
      </w:pPr>
      <w:r>
        <w:rPr>
          <w:b/>
          <w:bCs/>
        </w:rPr>
        <w:t xml:space="preserve">Password reset &amp; account recovery: </w:t>
      </w:r>
      <w:r>
        <w:t xml:space="preserve">handled through Supabase's built-in flows (secure token-based reset links via email), not custom-built — reduces the surface area for security bugs.</w:t>
      </w:r>
    </w:p>
    <w:p>
      <w:pPr>
        <w:pStyle w:val="ListParagraph"/>
        <w:numPr>
          <w:ilvl w:val="0"/>
          <w:numId w:val="2"/>
        </w:numPr>
        <w:spacing w:after="80"/>
      </w:pPr>
      <w:r>
        <w:rPr>
          <w:b/>
          <w:bCs/>
        </w:rPr>
        <w:t xml:space="preserve">Transport security: </w:t>
      </w:r>
      <w:r>
        <w:t xml:space="preserve">HTTPS is automatic and free on Vercel/Netlify — every connection is encrypted by default, no separate certificate management needed.</w:t>
      </w:r>
    </w:p>
    <w:p>
      <w:pPr>
        <w:pStyle w:val="Heading2"/>
        <w:spacing w:after="120" w:before="240"/>
      </w:pPr>
      <w:r>
        <w:t xml:space="preserve">10.2 Data Integrity &amp; Validation</w:t>
      </w:r>
    </w:p>
    <w:p>
      <w:pPr>
        <w:pStyle w:val="ListParagraph"/>
        <w:numPr>
          <w:ilvl w:val="0"/>
          <w:numId w:val="2"/>
        </w:numPr>
        <w:spacing w:after="80"/>
      </w:pPr>
      <w:r>
        <w:rPr>
          <w:b/>
          <w:bCs/>
        </w:rPr>
        <w:t xml:space="preserve">Never trust client input: </w:t>
      </w:r>
      <w:r>
        <w:t xml:space="preserve">every form is validated twice — client-side for immediate user feedback, and again server-side on the API route, since client-side checks can always be bypassed by a direct API call. Server-side validation uses a schema library (e.g. Zod) so invalid data is rejected before it ever reaches the database.</w:t>
      </w:r>
    </w:p>
    <w:p>
      <w:pPr>
        <w:pStyle w:val="ListParagraph"/>
        <w:numPr>
          <w:ilvl w:val="0"/>
          <w:numId w:val="2"/>
        </w:numPr>
        <w:spacing w:after="80"/>
      </w:pPr>
      <w:r>
        <w:rPr>
          <w:b/>
          <w:bCs/>
        </w:rPr>
        <w:t xml:space="preserve">Database constraints as the last line of defense: </w:t>
      </w:r>
      <w:r>
        <w:t xml:space="preserve">required fields, foreign keys, and check constraints are enforced at the Postgres schema level — even if a bug slips past application-level validation, the database itself refuses to store impossible data (e.g. a booking with no listing, a negative price).</w:t>
      </w:r>
    </w:p>
    <w:p>
      <w:pPr>
        <w:pStyle w:val="ListParagraph"/>
        <w:numPr>
          <w:ilvl w:val="0"/>
          <w:numId w:val="2"/>
        </w:numPr>
        <w:spacing w:after="80"/>
      </w:pPr>
      <w:r>
        <w:rPr>
          <w:b/>
          <w:bCs/>
        </w:rPr>
        <w:t xml:space="preserve">Atomic transactions for money- and booking-critical operations: </w:t>
      </w:r>
      <w:r>
        <w:t xml:space="preserve">actions like locking a listing once a viewing is confirmed, or updating an order's payment status, run as a single database transaction rather than several separate steps — this is what actually prevents race conditions like double-booking a short-let date or double-counting a commission, not just careful coding.</w:t>
      </w:r>
    </w:p>
    <w:p>
      <w:pPr>
        <w:pStyle w:val="Heading2"/>
        <w:spacing w:after="120" w:before="240"/>
      </w:pPr>
      <w:r>
        <w:t xml:space="preserve">10.3 Error Handling</w:t>
      </w:r>
    </w:p>
    <w:p>
      <w:pPr>
        <w:pStyle w:val="ListParagraph"/>
        <w:numPr>
          <w:ilvl w:val="0"/>
          <w:numId w:val="2"/>
        </w:numPr>
        <w:spacing w:after="80"/>
      </w:pPr>
      <w:r>
        <w:rPr>
          <w:b/>
          <w:bCs/>
        </w:rPr>
        <w:t xml:space="preserve">User-facing errors: </w:t>
      </w:r>
      <w:r>
        <w:t xml:space="preserve">the interface never shows raw error messages, stack traces, or database error text to users — those are logged internally (see 10.4) and the person sees a plain-language message (“Something went wrong saving your listing, please try again”) with a way to retry or contact support.</w:t>
      </w:r>
    </w:p>
    <w:p>
      <w:pPr>
        <w:pStyle w:val="ListParagraph"/>
        <w:numPr>
          <w:ilvl w:val="0"/>
          <w:numId w:val="2"/>
        </w:numPr>
        <w:spacing w:after="80"/>
      </w:pPr>
      <w:r>
        <w:rPr>
          <w:b/>
          <w:bCs/>
        </w:rPr>
        <w:t xml:space="preserve">API error structure: </w:t>
      </w:r>
      <w:r>
        <w:t xml:space="preserve">every API route distinguishes between user errors (bad input, expired session — 400-level, safe to explain) and system errors (a genuine bug — 500-level, logged with detail internally but shown generically to the user).</w:t>
      </w:r>
    </w:p>
    <w:p>
      <w:pPr>
        <w:pStyle w:val="ListParagraph"/>
        <w:numPr>
          <w:ilvl w:val="0"/>
          <w:numId w:val="2"/>
        </w:numPr>
        <w:spacing w:after="80"/>
      </w:pPr>
      <w:r>
        <w:rPr>
          <w:b/>
          <w:bCs/>
        </w:rPr>
        <w:t xml:space="preserve">Payment-specific error handling: </w:t>
      </w:r>
      <w:r>
        <w:t xml:space="preserve">Paystack transactions use idempotency — if a webhook fires twice for the same payment (which does happen), the system checks whether that payment reference has already been processed before updating anything, preventing duplicate order confirmations or double-counted commissions. Failed payments are shown clearly to the user with a retry path, not a dead end.</w:t>
      </w:r>
    </w:p>
    <w:p>
      <w:pPr>
        <w:pStyle w:val="Heading2"/>
        <w:spacing w:after="120" w:before="240"/>
      </w:pPr>
      <w:r>
        <w:t xml:space="preserve">10.4 Logging &amp; Error Monitoring</w:t>
      </w:r>
    </w:p>
    <w:p>
      <w:pPr>
        <w:pStyle w:val="ListParagraph"/>
        <w:numPr>
          <w:ilvl w:val="0"/>
          <w:numId w:val="2"/>
        </w:numPr>
        <w:spacing w:after="80"/>
      </w:pPr>
      <w:r>
        <w:rPr>
          <w:b/>
          <w:bCs/>
        </w:rPr>
        <w:t xml:space="preserve">Sentry (free Developer tier): </w:t>
      </w:r>
      <w:r>
        <w:t xml:space="preserve">catches and logs every unhandled error in production in real time, with the full stack trace and the state that caused it — free tier covers 5,000 errors/month and one user, which is enough at MVP scale. This is the single most important zero-cost addition for actually knowing when something breaks, rather than finding out from a user complaint.</w:t>
      </w:r>
    </w:p>
    <w:p>
      <w:pPr>
        <w:pStyle w:val="ListParagraph"/>
        <w:numPr>
          <w:ilvl w:val="0"/>
          <w:numId w:val="2"/>
        </w:numPr>
        <w:spacing w:after="80"/>
      </w:pPr>
      <w:r>
        <w:rPr>
          <w:b/>
          <w:bCs/>
        </w:rPr>
        <w:t xml:space="preserve">Platform logs: </w:t>
      </w:r>
      <w:r>
        <w:t xml:space="preserve">Vercel/Netlify function logs and Supabase's built-in logs (7-day retention on the free tier) cover request-level debugging — useful for tracing a specific failed request, complementary to Sentry rather than a replacement for it.</w:t>
      </w:r>
    </w:p>
    <w:p>
      <w:pPr>
        <w:pStyle w:val="Heading2"/>
        <w:spacing w:after="120" w:before="240"/>
      </w:pPr>
      <w:r>
        <w:t xml:space="preserve">10.5 Debugging Workflow</w:t>
      </w:r>
    </w:p>
    <w:p>
      <w:pPr>
        <w:pStyle w:val="ListParagraph"/>
        <w:numPr>
          <w:ilvl w:val="0"/>
          <w:numId w:val="2"/>
        </w:numPr>
        <w:spacing w:after="80"/>
      </w:pPr>
      <w:r>
        <w:rPr>
          <w:b/>
          <w:bCs/>
        </w:rPr>
        <w:t xml:space="preserve">Feature branches + deploy previews: </w:t>
      </w:r>
      <w:r>
        <w:t xml:space="preserve">every change is built on its own branch; Vercel/Netlify automatically deploy a preview URL for each one, so new features are tested against real infrastructure before merging to production — free on both platforms.</w:t>
      </w:r>
    </w:p>
    <w:p>
      <w:pPr>
        <w:pStyle w:val="ListParagraph"/>
        <w:numPr>
          <w:ilvl w:val="0"/>
          <w:numId w:val="2"/>
        </w:numPr>
        <w:spacing w:after="80"/>
      </w:pPr>
      <w:r>
        <w:rPr>
          <w:b/>
          <w:bCs/>
        </w:rPr>
        <w:t xml:space="preserve">Local development: </w:t>
      </w:r>
      <w:r>
        <w:t xml:space="preserve">mirrors production using the same schema (via Supabase migrations) and environment variable structure, so bugs found locally reflect real production behavior.</w:t>
      </w:r>
    </w:p>
    <w:p>
      <w:pPr>
        <w:pStyle w:val="Heading2"/>
        <w:spacing w:after="120" w:before="240"/>
      </w:pPr>
      <w:r>
        <w:t xml:space="preserve">10.6 Backups &amp; Disaster Recovery — an honest flag</w:t>
      </w:r>
    </w:p>
    <w:p>
      <w:pPr>
        <w:spacing w:after="160"/>
      </w:pPr>
      <w:r>
        <w:t xml:space="preserve">This is the one place where “fully free” needs a clear-eyed exception, and it's worth being direct about it rather than glossing over it: Supabase's free tier has no automatic backups at all — not limited retention, none. It also auto-pauses any project with no API activity for 7 days, which would take a live platform offline until someone manually resumes it. Neither is acceptable once the platform is holding real listings, real ID verification documents, and real payment records.</w:t>
      </w:r>
    </w:p>
    <w:p>
      <w:pPr>
        <w:pStyle w:val="ListParagraph"/>
        <w:numPr>
          <w:ilvl w:val="0"/>
          <w:numId w:val="2"/>
        </w:numPr>
        <w:spacing w:after="80"/>
      </w:pPr>
      <w:r>
        <w:rPr>
          <w:b/>
          <w:bCs/>
        </w:rPr>
        <w:t xml:space="preserve">Through development: </w:t>
      </w:r>
      <w:r>
        <w:t xml:space="preserve">the free tier is fine — there's nothing running that can't be rebuilt from the codebase and test data.</w:t>
      </w:r>
    </w:p>
    <w:p>
      <w:pPr>
        <w:pStyle w:val="ListParagraph"/>
        <w:numPr>
          <w:ilvl w:val="0"/>
          <w:numId w:val="2"/>
        </w:numPr>
        <w:spacing w:after="80"/>
      </w:pPr>
      <w:r>
        <w:rPr>
          <w:b/>
          <w:bCs/>
        </w:rPr>
        <w:t xml:space="preserve">Before soft launch (once real user data exists): </w:t>
      </w:r>
      <w:r>
        <w:t xml:space="preserve">two options, not mutually exclusive — (1) a genuinely free DIY backup: a scheduled GitHub Actions job runs a nightly database dump to free cloud storage (this requires a few hours of one-time setup but costs nothing ongoing), or (2) upgrade to Supabase Pro (~$25/month, which includes daily backups with 7-day point-in-time recovery), funded from the platform's own first commissions rather than upfront cash — consistent with the reinvestment approach used elsewhere in this plan.</w:t>
      </w:r>
    </w:p>
    <w:p>
      <w:pPr>
        <w:spacing w:after="160"/>
      </w:pPr>
      <w:r>
        <w:rPr>
          <w:b/>
          <w:bCs/>
        </w:rPr>
        <w:t xml:space="preserve">Decision: </w:t>
      </w:r>
      <w:r>
        <w:t xml:space="preserve">the DIY backup script is built during Phase 6 (admin/trust layer), not deferred, and its first successful automated backup run is a hard prerequisite for Phase 7 — real listings and agent onboarding do not begin until it's verified working. The Supabase Pro upgrade is funded from the first commissions collected, treated as a near-term priority rather than a someday item, since real user data (especially ID documents, which fall under NDPR) is in the system from the moment soft launch begins.</w:t>
      </w:r>
    </w:p>
    <w:p>
      <w:pPr>
        <w:pStyle w:val="Heading2"/>
        <w:spacing w:after="120" w:before="240"/>
      </w:pPr>
      <w:r>
        <w:t xml:space="preserve">10.7 Security Practices</w:t>
      </w:r>
    </w:p>
    <w:p>
      <w:pPr>
        <w:pStyle w:val="ListParagraph"/>
        <w:numPr>
          <w:ilvl w:val="0"/>
          <w:numId w:val="2"/>
        </w:numPr>
        <w:spacing w:after="80"/>
      </w:pPr>
      <w:r>
        <w:rPr>
          <w:b/>
          <w:bCs/>
        </w:rPr>
        <w:t xml:space="preserve">Secrets: </w:t>
      </w:r>
      <w:r>
        <w:t xml:space="preserve">API keys and credentials live only in environment variables, never in the codebase; if one is ever accidentally exposed, it's rotated immediately.</w:t>
      </w:r>
    </w:p>
    <w:p>
      <w:pPr>
        <w:pStyle w:val="ListParagraph"/>
        <w:numPr>
          <w:ilvl w:val="0"/>
          <w:numId w:val="2"/>
        </w:numPr>
        <w:spacing w:after="80"/>
      </w:pPr>
      <w:r>
        <w:rPr>
          <w:b/>
          <w:bCs/>
        </w:rPr>
        <w:t xml:space="preserve">Injection &amp; XSS: </w:t>
      </w:r>
      <w:r>
        <w:t xml:space="preserve">using Supabase's client library (parameterized queries throughout) rather than raw SQL string-building rules out SQL injection by construction; React escapes rendered output by default, so cross-site scripting is only a risk if raw HTML injection is deliberately used, which it isn't in this build.</w:t>
      </w:r>
    </w:p>
    <w:p>
      <w:pPr>
        <w:pStyle w:val="ListParagraph"/>
        <w:numPr>
          <w:ilvl w:val="0"/>
          <w:numId w:val="2"/>
        </w:numPr>
        <w:spacing w:after="80"/>
      </w:pPr>
      <w:r>
        <w:rPr>
          <w:b/>
          <w:bCs/>
        </w:rPr>
        <w:t xml:space="preserve">Rate limiting: </w:t>
      </w:r>
      <w:r>
        <w:t xml:space="preserve">login and OTP-request endpoints are rate-limited to prevent brute-force and abuse — a small but important detail on any auth flow, easy to overlook and easy to add early.</w:t>
      </w:r>
    </w:p>
    <w:p>
      <w:pPr>
        <w:pStyle w:val="ListParagraph"/>
        <w:numPr>
          <w:ilvl w:val="0"/>
          <w:numId w:val="2"/>
        </w:numPr>
        <w:spacing w:after="80"/>
      </w:pPr>
      <w:r>
        <w:rPr>
          <w:b/>
          <w:bCs/>
        </w:rPr>
        <w:t xml:space="preserve">Dependency hygiene: </w:t>
      </w:r>
      <w:r>
        <w:t xml:space="preserve">GitHub's free Dependabot alerts flag known vulnerabilities in third-party packages automatically.</w:t>
      </w:r>
    </w:p>
    <w:p>
      <w:pPr>
        <w:pStyle w:val="Heading2"/>
        <w:spacing w:after="120" w:before="240"/>
      </w:pPr>
      <w:r>
        <w:t xml:space="preserve">10.8 Testing &amp; QA</w:t>
      </w:r>
    </w:p>
    <w:p>
      <w:pPr>
        <w:spacing w:after="160"/>
      </w:pPr>
      <w:r>
        <w:t xml:space="preserve">Full automated test coverage isn't realistic for a solo/small self-build, so testing effort is prioritized where bugs are most expensive: payment verification, commission calculation, and the booking-lock logic get the most scrutiny (including automated tests where practical), since errors there cost real money or real trust. Everything else is covered by the manual end-to-end test pass already built into each build phase.</w:t>
      </w:r>
    </w:p>
    <w:p>
      <w:pPr>
        <w:pStyle w:val="Heading2"/>
        <w:spacing w:after="120" w:before="240"/>
      </w:pPr>
      <w:r>
        <w:t xml:space="preserve">10.9 Incident Response &amp; Rollback</w:t>
      </w:r>
    </w:p>
    <w:p>
      <w:pPr>
        <w:pStyle w:val="ListParagraph"/>
        <w:numPr>
          <w:ilvl w:val="0"/>
          <w:numId w:val="2"/>
        </w:numPr>
        <w:spacing w:after="80"/>
      </w:pPr>
      <w:r>
        <w:rPr>
          <w:b/>
          <w:bCs/>
        </w:rPr>
        <w:t xml:space="preserve">Rollback: </w:t>
      </w:r>
      <w:r>
        <w:t xml:space="preserve">Vercel/Netlify keep every previous deployment live and instantly reachable — if a new release breaks something in production, reverting is a one-click action, not an emergency fix under pressure.</w:t>
      </w:r>
    </w:p>
    <w:p>
      <w:pPr>
        <w:pStyle w:val="ListParagraph"/>
        <w:numPr>
          <w:ilvl w:val="0"/>
          <w:numId w:val="2"/>
        </w:numPr>
        <w:spacing w:after="80"/>
      </w:pPr>
      <w:r>
        <w:rPr>
          <w:b/>
          <w:bCs/>
        </w:rPr>
        <w:t xml:space="preserve">This connects directly to the contingencies already defined in Section 7: </w:t>
      </w:r>
      <w:r>
        <w:t xml:space="preserve">the data breach and platform downtime scenarios there assume the monitoring and backup practices in this section are actually in place — this section is what makes those contingency responses executable rather than aspirational.</w:t>
      </w:r>
    </w:p>
    <w:p>
      <w:pPr>
        <w:pStyle w:val="Heading2"/>
        <w:spacing w:after="120" w:before="240"/>
      </w:pPr>
      <w:r>
        <w:t xml:space="preserve">10.10 Borrowed Enterprise Practices (zero cost)</w:t>
      </w:r>
    </w:p>
    <w:p>
      <w:pPr>
        <w:spacing w:after="160"/>
      </w:pPr>
      <w:r>
        <w:t xml:space="preserve">A Fortune 500 team would build this with a formal PRD and security review process, cloud infrastructure with infrastructure-as-code, mandatory code review, a full automated test pyramid, a dedicated security team, multi-region backup redundancy, a full observability stack with on-call rotation, and staged canary releases — realistically $15k–$100k+/month in tooling and headcount before a single user exists. That's the right call for protecting an existing business worth billions; it's the wrong call for validating a two-sided marketplace in Abuja. Four of their habits are worth borrowing anyway, because they cost nothing and the value shows up exactly when it's needed most:</w:t>
      </w:r>
    </w:p>
    <w:p>
      <w:pPr>
        <w:pStyle w:val="ListParagraph"/>
        <w:numPr>
          <w:ilvl w:val="0"/>
          <w:numId w:val="2"/>
        </w:numPr>
        <w:spacing w:after="80"/>
      </w:pPr>
      <w:r>
        <w:rPr>
          <w:b/>
          <w:bCs/>
        </w:rPr>
        <w:t xml:space="preserve">Written incident runbook (Phase 6): </w:t>
      </w:r>
      <w:r>
        <w:t xml:space="preserve">one page — if X breaks, who does what, in what order. Written and reviewed during the admin/trust layer phase, alongside the backup script, not improvised during an actual incident when it's hardest to think clearly.</w:t>
      </w:r>
    </w:p>
    <w:p>
      <w:pPr>
        <w:pStyle w:val="ListParagraph"/>
        <w:numPr>
          <w:ilvl w:val="0"/>
          <w:numId w:val="2"/>
        </w:numPr>
        <w:spacing w:after="80"/>
      </w:pPr>
      <w:r>
        <w:rPr>
          <w:b/>
          <w:bCs/>
        </w:rPr>
        <w:t xml:space="preserve">Restore-test the backup, don't just run it (Phase 6, before Phase 7 begins): </w:t>
      </w:r>
      <w:r>
        <w:t xml:space="preserve">a backup that's never been used to rebuild the database isn't proven, it's a hope. One practice restore — actually rebuilding a test database from a real backup file — is required before the Phase 7 prerequisite in Section 10.6 is considered met, not just a successful backup run.</w:t>
      </w:r>
    </w:p>
    <w:p>
      <w:pPr>
        <w:pStyle w:val="ListParagraph"/>
        <w:numPr>
          <w:ilvl w:val="0"/>
          <w:numId w:val="2"/>
        </w:numPr>
        <w:spacing w:after="80"/>
      </w:pPr>
      <w:r>
        <w:rPr>
          <w:b/>
          <w:bCs/>
        </w:rPr>
        <w:t xml:space="preserve">Self-review checklist as a stand-in for code review (ongoing, from Phase 2 onward): </w:t>
      </w:r>
      <w:r>
        <w:t xml:space="preserve">a short personal checklist run before merging any change that touches payments, bookings, or commission logic — the same code paths already flagged as highest-scrutiny in Section 10.8. Costs nothing beyond discipline, and catches the class of bug a second reviewer would normally catch.</w:t>
      </w:r>
    </w:p>
    <w:p>
      <w:pPr>
        <w:pStyle w:val="ListParagraph"/>
        <w:numPr>
          <w:ilvl w:val="0"/>
          <w:numId w:val="2"/>
        </w:numPr>
        <w:spacing w:after="80"/>
      </w:pPr>
      <w:r>
        <w:rPr>
          <w:b/>
          <w:bCs/>
        </w:rPr>
        <w:t xml:space="preserve">Staged rollout even solo (Phase 7): </w:t>
      </w:r>
      <w:r>
        <w:t xml:space="preserve">launch to 5–10 real listings and agents from the founder's own network before opening to the full waived-fee cohort of 50 — the same instinct behind an enterprise canary release, just done manually at this scale. Problems surface with 5 listings in a way that's manageable; they surface with 50 in a way that isn't.</w:t>
      </w:r>
    </w:p>
    <w:p>
      <w:pPr>
        <w:pStyle w:val="Heading1"/>
        <w:spacing w:after="160" w:before="320"/>
      </w:pPr>
      <w:r>
        <w:t xml:space="preserve">11. Key Decisions Log</w:t>
      </w:r>
    </w:p>
    <w:p>
      <w:pPr>
        <w:pStyle w:val="ListParagraph"/>
        <w:numPr>
          <w:ilvl w:val="0"/>
          <w:numId w:val="2"/>
        </w:numPr>
        <w:spacing w:after="80"/>
      </w:pPr>
      <w:r>
        <w:t xml:space="preserve">Short-let commission capped at 15%, host-only, no guest-side fee.</w:t>
      </w:r>
    </w:p>
    <w:p>
      <w:pPr>
        <w:pStyle w:val="ListParagraph"/>
        <w:numPr>
          <w:ilvl w:val="0"/>
          <w:numId w:val="2"/>
        </w:numPr>
        <w:spacing w:after="80"/>
      </w:pPr>
      <w:r>
        <w:t xml:space="preserve">No booking deposit — commission is protected via a signed procuring-cause clause, agent incentive, and access consequences instead.</w:t>
      </w:r>
    </w:p>
    <w:p>
      <w:pPr>
        <w:pStyle w:val="ListParagraph"/>
        <w:numPr>
          <w:ilvl w:val="0"/>
          <w:numId w:val="2"/>
        </w:numPr>
        <w:spacing w:after="80"/>
      </w:pPr>
      <w:r>
        <w:t xml:space="preserve">Short-let held back from first launch; v1 covers sale + standard rental only, in Abuja.</w:t>
      </w:r>
    </w:p>
    <w:p>
      <w:pPr>
        <w:pStyle w:val="ListParagraph"/>
        <w:numPr>
          <w:ilvl w:val="0"/>
          <w:numId w:val="2"/>
        </w:numPr>
        <w:spacing w:after="80"/>
      </w:pPr>
      <w:r>
        <w:t xml:space="preserve">Listing fee waived for the first 50 listings to solve the cold-start supply problem.</w:t>
      </w:r>
    </w:p>
    <w:p>
      <w:pPr>
        <w:pStyle w:val="ListParagraph"/>
        <w:numPr>
          <w:ilvl w:val="0"/>
          <w:numId w:val="2"/>
        </w:numPr>
        <w:spacing w:after="80"/>
      </w:pPr>
      <w:r>
        <w:t xml:space="preserve">Build order: Realty Marketplace first and exclusively; all tools on free tiers through launch.</w:t>
      </w:r>
    </w:p>
    <w:p>
      <w:pPr>
        <w:pStyle w:val="ListParagraph"/>
        <w:numPr>
          <w:ilvl w:val="0"/>
          <w:numId w:val="2"/>
        </w:numPr>
        <w:spacing w:after="80"/>
      </w:pPr>
      <w:r>
        <w:t xml:space="preserve">Sentry (free tier) added for production error monitoring; DIY database backups (or Supabase Pro, funded by early revenue) required before real user data goes live.</w:t>
      </w:r>
    </w:p>
    <w:p>
      <w:pPr>
        <w:pStyle w:val="ListParagraph"/>
        <w:numPr>
          <w:ilvl w:val="0"/>
          <w:numId w:val="2"/>
        </w:numPr>
        <w:spacing w:after="80"/>
      </w:pPr>
      <w:r>
        <w:t xml:space="preserve">Automated backups are a hard, verified prerequisite for Phase 7 — real listings/agent onboarding do not start until the backup script has run successfully at least once.</w:t>
      </w:r>
    </w:p>
    <w:p>
      <w:pPr>
        <w:pStyle w:val="ListParagraph"/>
        <w:numPr>
          <w:ilvl w:val="0"/>
          <w:numId w:val="2"/>
        </w:numPr>
        <w:spacing w:after="80"/>
      </w:pPr>
      <w:r>
        <w:t xml:space="preserve">Four enterprise practices adopted at zero cost: written incident runbook (Phase 6), a practice restore from backup before Phase 7 (not just a successful backup run), a self-review checklist on payment/booking/commission code from Phase 2 onward, and a staged rollout to 5–10 listings before opening to the full waived-fee cohort of 50 (Phase 7).</w:t>
      </w:r>
    </w:p>
    <w:p>
      <w:pPr>
        <w:pStyle w:val="ListParagraph"/>
        <w:numPr>
          <w:ilvl w:val="0"/>
          <w:numId w:val="2"/>
        </w:numPr>
        <w:spacing w:after="80"/>
      </w:pPr>
      <w:r>
        <w:t xml:space="preserve">Mobile strategy: PWA at launch (manifest + service worker in Phase 1, offline-caching polish in Phase 7) — zero cost, fits the free-build constraint. Native app (React Native/Expo) deferred to a funded Phase 3 once commission revenue covers the $99/year Apple + $25 one-time Google store fees.</w:t>
      </w:r>
    </w:p>
    <w:p>
      <w:pPr>
        <w:pStyle w:val="Heading1"/>
        <w:spacing w:after="160" w:before="320"/>
      </w:pPr>
      <w:r>
        <w:t xml:space="preserve">12. Still Open</w:t>
      </w:r>
    </w:p>
    <w:p>
      <w:pPr>
        <w:pStyle w:val="ListParagraph"/>
        <w:numPr>
          <w:ilvl w:val="0"/>
          <w:numId w:val="2"/>
        </w:numPr>
        <w:spacing w:after="80"/>
      </w:pPr>
      <w:r>
        <w:t xml:space="preserve">Exact enforceability window for the commission clause after a viewing (e.g. 6 vs 12 months).</w:t>
      </w:r>
    </w:p>
    <w:p>
      <w:pPr>
        <w:pStyle w:val="ListParagraph"/>
        <w:numPr>
          <w:ilvl w:val="0"/>
          <w:numId w:val="2"/>
        </w:numPr>
        <w:spacing w:after="80"/>
      </w:pPr>
      <w:r>
        <w:t xml:space="preserve">Whether to revisit a deposit model later if commission-dodging proves to be a frequent real problem.</w:t>
      </w:r>
    </w:p>
    <w:p>
      <w:pPr>
        <w:pStyle w:val="ListParagraph"/>
        <w:numPr>
          <w:ilvl w:val="0"/>
          <w:numId w:val="2"/>
        </w:numPr>
        <w:spacing w:after="80"/>
      </w:pPr>
      <w:r>
        <w:t xml:space="preserve">Exact trigger for the Supabase Pro upgrade — a fixed listing-count/revenue threshold, or a calendar date after soft launch?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4E78"/>
      <w:sz w:val="30"/>
      <w:szCs w:val="30"/>
    </w:rPr>
  </w:style>
  <w:style w:type="paragraph" w:styleId="Heading2">
    <w:name w:val="Heading 2"/>
    <w:basedOn w:val="Normal"/>
    <w:next w:val="Normal"/>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2026-08-05T12:17:09.424Z</dcterms:created>
  <dcterms:modified xsi:type="dcterms:W3CDTF">2026-08-05T12:17:09.449Z</dcterms:modified>
</cp:coreProperties>
</file>

<file path=docProps/custom.xml><?xml version="1.0" encoding="utf-8"?>
<Properties xmlns="http://schemas.openxmlformats.org/officeDocument/2006/custom-properties" xmlns:vt="http://schemas.openxmlformats.org/officeDocument/2006/docPropsVTypes"/>
</file>