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8"/>
          <w:sz w:val="56"/>
          <w:szCs w:val="56"/>
        </w:rPr>
        <w:t xml:space="preserve">[Company Name]</w:t>
      </w:r>
    </w:p>
    <w:p>
      <w:pPr>
        <w:spacing w:after="600"/>
        <w:jc w:val="center"/>
      </w:pPr>
      <w:r>
        <w:rPr>
          <w:color w:val="595959"/>
          <w:sz w:val="30"/>
          <w:szCs w:val="30"/>
        </w:rPr>
        <w:t xml:space="preserve">Nigeria's Trusted Real Estate Marketplace</w:t>
      </w:r>
    </w:p>
    <w:p>
      <w:pPr>
        <w:spacing w:after="100"/>
        <w:jc w:val="center"/>
      </w:pPr>
      <w:r>
        <w:rPr>
          <w:i/>
          <w:iCs/>
          <w:sz w:val="24"/>
          <w:szCs w:val="24"/>
        </w:rPr>
        <w:t xml:space="preserve">Investor Prospectus</w:t>
      </w:r>
    </w:p>
    <w:p>
      <w:pPr>
        <w:spacing w:after="1600"/>
        <w:jc w:val="center"/>
      </w:pPr>
      <w:r>
        <w:rPr>
          <w:color w:val="595959"/>
          <w:sz w:val="20"/>
          <w:szCs w:val="20"/>
        </w:rPr>
        <w:t xml:space="preserve">Confidential — Prepared 2026</w:t>
      </w:r>
    </w:p>
    <w:p>
      <w:r>
        <w:br w:type="page"/>
      </w:r>
    </w:p>
    <w:p>
      <w:pPr>
        <w:pStyle w:val="Heading1"/>
        <w:spacing w:after="160" w:before="320"/>
      </w:pPr>
      <w:r>
        <w:t xml:space="preserve">Executive Summary</w:t>
      </w:r>
    </w:p>
    <w:p>
      <w:pPr>
        <w:spacing w:after="160"/>
      </w:pPr>
      <w:r>
        <w:t xml:space="preserve">The Company is building Nigeria's first real estate marketplace to combine verified listings, agent-assisted viewings, and a transparent, commission-based transaction pipeline in one platform — addressing a trust gap that the country's existing listing platforms do not solve. The Company launches with property sales and standard rentals in Abuja, with short-let/short-stay rentals planned as a second phase once the core marketplace has an established base of verified listings and agents.</w:t>
      </w:r>
    </w:p>
    <w:p>
      <w:pPr>
        <w:pStyle w:val="Heading1"/>
        <w:spacing w:after="160" w:before="320"/>
      </w:pPr>
      <w:r>
        <w:t xml:space="preserve">The Problem</w:t>
      </w:r>
    </w:p>
    <w:p>
      <w:pPr>
        <w:spacing w:after="160"/>
      </w:pPr>
      <w:r>
        <w:t xml:space="preserve">Nigeria's real estate market is large and growing, but plagued by fraud that erodes buyer and renter confidence at every stage of the search process. Common, well-documented patterns include:</w:t>
      </w:r>
    </w:p>
    <w:p>
      <w:pPr>
        <w:pStyle w:val="ListParagraph"/>
        <w:numPr>
          <w:ilvl w:val="0"/>
          <w:numId w:val="2"/>
        </w:numPr>
        <w:spacing w:after="80"/>
      </w:pPr>
      <w:r>
        <w:t xml:space="preserve">Fake listings using stolen photos, priced to lure buyers or renters into paying before ever inspecting the property.</w:t>
      </w:r>
    </w:p>
    <w:p>
      <w:pPr>
        <w:pStyle w:val="ListParagraph"/>
        <w:numPr>
          <w:ilvl w:val="0"/>
          <w:numId w:val="2"/>
        </w:numPr>
        <w:spacing w:after="80"/>
      </w:pPr>
      <w:r>
        <w:t xml:space="preserve">Rental fraud in which the same property is “rented” to multiple tenants simultaneously, discovered only when tenants arrive to move in.</w:t>
      </w:r>
    </w:p>
    <w:p>
      <w:pPr>
        <w:pStyle w:val="ListParagraph"/>
        <w:numPr>
          <w:ilvl w:val="0"/>
          <w:numId w:val="2"/>
        </w:numPr>
        <w:spacing w:after="80"/>
      </w:pPr>
      <w:r>
        <w:t xml:space="preserve">Unregistered individuals impersonating licensed agents, collecting inspection or commitment fees, then disappearing.</w:t>
      </w:r>
    </w:p>
    <w:p>
      <w:pPr>
        <w:pStyle w:val="ListParagraph"/>
        <w:numPr>
          <w:ilvl w:val="0"/>
          <w:numId w:val="2"/>
        </w:numPr>
        <w:spacing w:after="80"/>
      </w:pPr>
      <w:r>
        <w:t xml:space="preserve">Forged ownership documents (Certificates of Occupancy, deeds, survey plans) used to sell property fraudulently.</w:t>
      </w:r>
    </w:p>
    <w:p>
      <w:pPr>
        <w:spacing w:after="160"/>
      </w:pPr>
      <w:r>
        <w:t xml:space="preserve">These patterns are frequent enough that Nigeria's existing real estate portals — which function primarily as listing directories with direct-to-agent contact — have not solved them. A new entrant is entering the market in 2026 built specifically around verification, which the Company views as external validation of the opportunity.</w:t>
      </w:r>
    </w:p>
    <w:p>
      <w:pPr>
        <w:pStyle w:val="Heading1"/>
        <w:spacing w:after="160" w:before="320"/>
      </w:pPr>
      <w:r>
        <w:t xml:space="preserve">Market Opportunity</w:t>
      </w:r>
    </w:p>
    <w:p>
      <w:pPr>
        <w:spacing w:after="160"/>
      </w:pPr>
      <w:r>
        <w:t xml:space="preserve">Nigeria's real estate market was valued at approximately USD 29–32 billion as of 2024–2025, with continued growth projected through 2030. The country carries an estimated housing deficit of 22–28 million units, and its population — approaching 260 million — continues to urbanize rapidly, sustaining strong structural demand for both purchase and rental housing in Lagos, Abuja, and other major cities. This combination of scale, unmet housing demand, and a documented trust deficit in the transaction process is the opportunity the Company is built to address.</w:t>
      </w:r>
    </w:p>
    <w:p>
      <w:pPr>
        <w:pStyle w:val="Heading1"/>
        <w:spacing w:after="160" w:before="320"/>
      </w:pPr>
      <w:r>
        <w:t xml:space="preserve">The Solution</w:t>
      </w:r>
    </w:p>
    <w:p>
      <w:pPr>
        <w:spacing w:after="160"/>
      </w:pPr>
      <w:r>
        <w:t xml:space="preserve">The Company operates a map-first property marketplace where every listing passes manual review before publication, every agent carries a public, verified profile, and no payment is ever collected before a confirmed, agent-accompanied viewing. Buyers and renters search listings by location and price; the Company assigns a vetted agent to coordinate each viewing; and closed deals — sales and rentals — generate commission revenue for the platform.</w:t>
      </w:r>
    </w:p>
    <w:p>
      <w:pPr>
        <w:pStyle w:val="ListParagraph"/>
        <w:numPr>
          <w:ilvl w:val="0"/>
          <w:numId w:val="2"/>
        </w:numPr>
        <w:spacing w:after="80"/>
      </w:pPr>
      <w:r>
        <w:rPr>
          <w:b/>
          <w:bCs/>
        </w:rPr>
        <w:t xml:space="preserve">Verified listings: </w:t>
      </w:r>
      <w:r>
        <w:t xml:space="preserve">every property is manually reviewed before it goes live.</w:t>
      </w:r>
    </w:p>
    <w:p>
      <w:pPr>
        <w:pStyle w:val="ListParagraph"/>
        <w:numPr>
          <w:ilvl w:val="0"/>
          <w:numId w:val="2"/>
        </w:numPr>
        <w:spacing w:after="80"/>
      </w:pPr>
      <w:r>
        <w:rPr>
          <w:b/>
          <w:bCs/>
        </w:rPr>
        <w:t xml:space="preserve">Verified agents: </w:t>
      </w:r>
      <w:r>
        <w:t xml:space="preserve">public profiles showing identity verification, viewing completion rate, and renter/buyer ratings.</w:t>
      </w:r>
    </w:p>
    <w:p>
      <w:pPr>
        <w:pStyle w:val="ListParagraph"/>
        <w:numPr>
          <w:ilvl w:val="0"/>
          <w:numId w:val="2"/>
        </w:numPr>
        <w:spacing w:after="80"/>
      </w:pPr>
      <w:r>
        <w:rPr>
          <w:b/>
          <w:bCs/>
        </w:rPr>
        <w:t xml:space="preserve">No pay-before-viewing: </w:t>
      </w:r>
      <w:r>
        <w:t xml:space="preserve">a structural rule, not just a warning, that closes off the single most common fraud pattern in the market.</w:t>
      </w:r>
    </w:p>
    <w:p>
      <w:pPr>
        <w:pStyle w:val="ListParagraph"/>
        <w:numPr>
          <w:ilvl w:val="0"/>
          <w:numId w:val="2"/>
        </w:numPr>
        <w:spacing w:after="80"/>
      </w:pPr>
      <w:r>
        <w:rPr>
          <w:b/>
          <w:bCs/>
        </w:rPr>
        <w:t xml:space="preserve">Booking protection: </w:t>
      </w:r>
      <w:r>
        <w:t xml:space="preserve">once a viewing is scheduled on a listing, it is flagged to other interested parties, preventing the double-rental scam pattern.</w:t>
      </w:r>
    </w:p>
    <w:p>
      <w:pPr>
        <w:pStyle w:val="Heading1"/>
        <w:spacing w:after="160" w:before="320"/>
      </w:pPr>
      <w:r>
        <w:t xml:space="preserve">Business Model</w:t>
      </w:r>
    </w:p>
    <w:p>
      <w:pPr>
        <w:spacing w:after="160"/>
      </w:pPr>
      <w:r>
        <w:t xml:space="preserve">Revenue is generated through three streams: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8" w:val="clear"/>
            <w:tcMar>
              <w:top w:type="dxa" w:w="100"/>
              <w:left w:type="dxa" w:w="120"/>
              <w:bottom w:type="dxa" w:w="100"/>
              <w:right w:type="dxa" w:w="120"/>
            </w:tcMar>
          </w:tcPr>
          <w:p>
            <w:r>
              <w:rPr>
                <w:b/>
                <w:bCs/>
                <w:color w:val="FFFFFF"/>
                <w:sz w:val="20"/>
                <w:szCs w:val="20"/>
              </w:rPr>
              <w:t xml:space="preserve">Stream</w:t>
            </w:r>
          </w:p>
        </w:tc>
        <w:tc>
          <w:tcPr>
            <w:tcW w:type="dxa" w:w="6900"/>
            <w:shd w:fill="1F4E78" w:val="clear"/>
            <w:tcMar>
              <w:top w:type="dxa" w:w="100"/>
              <w:left w:type="dxa" w:w="120"/>
              <w:bottom w:type="dxa" w:w="100"/>
              <w:right w:type="dxa" w:w="120"/>
            </w:tcMar>
          </w:tcPr>
          <w:p>
            <w:r>
              <w:rPr>
                <w:b/>
                <w:bCs/>
                <w:color w:val="FFFFFF"/>
                <w:sz w:val="20"/>
                <w:szCs w:val="20"/>
              </w:rPr>
              <w:t xml:space="preserve">Structure</w:t>
            </w:r>
          </w:p>
        </w:tc>
      </w:tr>
      <w:tr>
        <w:tc>
          <w:tcPr>
            <w:tcW w:type="dxa" w:w="2600"/>
            <w:tcMar>
              <w:top w:type="dxa" w:w="100"/>
              <w:left w:type="dxa" w:w="120"/>
              <w:bottom w:type="dxa" w:w="100"/>
              <w:right w:type="dxa" w:w="120"/>
            </w:tcMar>
          </w:tcPr>
          <w:p>
            <w:r>
              <w:rPr>
                <w:b w:val="false"/>
                <w:bCs w:val="false"/>
                <w:color w:val="000000"/>
                <w:sz w:val="20"/>
                <w:szCs w:val="20"/>
              </w:rPr>
              <w:t xml:space="preserve">Listing fee</w:t>
            </w:r>
          </w:p>
        </w:tc>
        <w:tc>
          <w:tcPr>
            <w:tcW w:type="dxa" w:w="6900"/>
            <w:tcMar>
              <w:top w:type="dxa" w:w="100"/>
              <w:left w:type="dxa" w:w="120"/>
              <w:bottom w:type="dxa" w:w="100"/>
              <w:right w:type="dxa" w:w="120"/>
            </w:tcMar>
          </w:tcPr>
          <w:p>
            <w:r>
              <w:rPr>
                <w:b w:val="false"/>
                <w:bCs w:val="false"/>
                <w:color w:val="000000"/>
                <w:sz w:val="20"/>
                <w:szCs w:val="20"/>
              </w:rPr>
              <w:t xml:space="preserve">Flat fee to publish a listing; waived for the Company's first 50 listings as a customer-acquisition strategy to build initial supply.</w:t>
            </w:r>
          </w:p>
        </w:tc>
      </w:tr>
      <w:tr>
        <w:tc>
          <w:tcPr>
            <w:tcW w:type="dxa" w:w="2600"/>
            <w:tcMar>
              <w:top w:type="dxa" w:w="100"/>
              <w:left w:type="dxa" w:w="120"/>
              <w:bottom w:type="dxa" w:w="100"/>
              <w:right w:type="dxa" w:w="120"/>
            </w:tcMar>
          </w:tcPr>
          <w:p>
            <w:r>
              <w:rPr>
                <w:b w:val="false"/>
                <w:bCs w:val="false"/>
                <w:color w:val="000000"/>
                <w:sz w:val="20"/>
                <w:szCs w:val="20"/>
              </w:rPr>
              <w:t xml:space="preserve">Sale commission</w:t>
            </w:r>
          </w:p>
        </w:tc>
        <w:tc>
          <w:tcPr>
            <w:tcW w:type="dxa" w:w="6900"/>
            <w:tcMar>
              <w:top w:type="dxa" w:w="100"/>
              <w:left w:type="dxa" w:w="120"/>
              <w:bottom w:type="dxa" w:w="100"/>
              <w:right w:type="dxa" w:w="120"/>
            </w:tcMar>
          </w:tcPr>
          <w:p>
            <w:r>
              <w:rPr>
                <w:b w:val="false"/>
                <w:bCs w:val="false"/>
                <w:color w:val="000000"/>
                <w:sz w:val="20"/>
                <w:szCs w:val="20"/>
              </w:rPr>
              <w:t xml:space="preserve">5–10% of sale price, industry-standard, paid by the seller upon a closed transaction.</w:t>
            </w:r>
          </w:p>
        </w:tc>
      </w:tr>
      <w:tr>
        <w:tc>
          <w:tcPr>
            <w:tcW w:type="dxa" w:w="2600"/>
            <w:tcMar>
              <w:top w:type="dxa" w:w="100"/>
              <w:left w:type="dxa" w:w="120"/>
              <w:bottom w:type="dxa" w:w="100"/>
              <w:right w:type="dxa" w:w="120"/>
            </w:tcMar>
          </w:tcPr>
          <w:p>
            <w:r>
              <w:rPr>
                <w:b w:val="false"/>
                <w:bCs w:val="false"/>
                <w:color w:val="000000"/>
                <w:sz w:val="20"/>
                <w:szCs w:val="20"/>
              </w:rPr>
              <w:t xml:space="preserve">Rental commission</w:t>
            </w:r>
          </w:p>
        </w:tc>
        <w:tc>
          <w:tcPr>
            <w:tcW w:type="dxa" w:w="6900"/>
            <w:tcMar>
              <w:top w:type="dxa" w:w="100"/>
              <w:left w:type="dxa" w:w="120"/>
              <w:bottom w:type="dxa" w:w="100"/>
              <w:right w:type="dxa" w:w="120"/>
            </w:tcMar>
          </w:tcPr>
          <w:p>
            <w:r>
              <w:rPr>
                <w:b w:val="false"/>
                <w:bCs w:val="false"/>
                <w:color w:val="000000"/>
                <w:sz w:val="20"/>
                <w:szCs w:val="20"/>
              </w:rPr>
              <w:t xml:space="preserve">A share of the agency fee tenants already customarily pay in the Nigerian rental market (~10% of annual rent) — not an additional charge to either party.</w:t>
            </w:r>
          </w:p>
        </w:tc>
      </w:tr>
      <w:tr>
        <w:tc>
          <w:tcPr>
            <w:tcW w:type="dxa" w:w="2600"/>
            <w:tcMar>
              <w:top w:type="dxa" w:w="100"/>
              <w:left w:type="dxa" w:w="120"/>
              <w:bottom w:type="dxa" w:w="100"/>
              <w:right w:type="dxa" w:w="120"/>
            </w:tcMar>
          </w:tcPr>
          <w:p>
            <w:r>
              <w:rPr>
                <w:b w:val="false"/>
                <w:bCs w:val="false"/>
                <w:color w:val="000000"/>
                <w:sz w:val="20"/>
                <w:szCs w:val="20"/>
              </w:rPr>
              <w:t xml:space="preserve">Short-let commission (Phase 2)</w:t>
            </w:r>
          </w:p>
        </w:tc>
        <w:tc>
          <w:tcPr>
            <w:tcW w:type="dxa" w:w="6900"/>
            <w:tcMar>
              <w:top w:type="dxa" w:w="100"/>
              <w:left w:type="dxa" w:w="120"/>
              <w:bottom w:type="dxa" w:w="100"/>
              <w:right w:type="dxa" w:w="120"/>
            </w:tcMar>
          </w:tcPr>
          <w:p>
            <w:r>
              <w:rPr>
                <w:b w:val="false"/>
                <w:bCs w:val="false"/>
                <w:color w:val="000000"/>
                <w:sz w:val="20"/>
                <w:szCs w:val="20"/>
              </w:rPr>
              <w:t xml:space="preserve">15% flat fee charged to the host per booking, in line with global short-stay marketplace norms.</w:t>
            </w:r>
          </w:p>
        </w:tc>
      </w:tr>
    </w:tbl>
    <w:p>
      <w:pPr>
        <w:spacing w:after="200"/>
      </w:pPr>
    </w:p>
    <w:p>
      <w:pPr>
        <w:spacing w:after="160"/>
      </w:pPr>
      <w:r>
        <w:t xml:space="preserve">The Company's cold-start strategy — waiving listing fees for its first cohort of properties — mirrors the standard two-sided marketplace playbook of subsidizing supply before demand exists to browse it, converting to full monetization once organic traffic and lead volume are established.</w:t>
      </w:r>
    </w:p>
    <w:p>
      <w:pPr>
        <w:pStyle w:val="Heading1"/>
        <w:spacing w:after="160" w:before="320"/>
      </w:pPr>
      <w:r>
        <w:t xml:space="preserve">Competitive Landscape</w:t>
      </w:r>
    </w:p>
    <w:p>
      <w:pPr>
        <w:spacing w:after="160"/>
      </w:pPr>
      <w:r>
        <w:t xml:space="preserve">The two incumbent Nigerian platforms, PropertyPro.ng and Nigeria Property Centre, compete primarily on listing volume and function as lead-generation directories — users browse listings and contact agents directly, with no in-platform booking, agent verification, or commission tracking. User feedback on the incumbents specifically cites inconsistent agent responsiveness as a recurring complaint. The Company is not competing on listing volume, which would take years to match; it is competing on transaction completion — a verified, bookable, trust-first pipeline that neither incumbent offers.</w:t>
      </w:r>
    </w:p>
    <w:p>
      <w:pPr>
        <w:pStyle w:val="Heading1"/>
        <w:spacing w:after="160" w:before="320"/>
      </w:pPr>
      <w:r>
        <w:t xml:space="preserve">Go-to-Market Strategy</w:t>
      </w:r>
    </w:p>
    <w:p>
      <w:pPr>
        <w:pStyle w:val="ListParagraph"/>
        <w:numPr>
          <w:ilvl w:val="0"/>
          <w:numId w:val="2"/>
        </w:numPr>
        <w:spacing w:after="80"/>
      </w:pPr>
      <w:r>
        <w:rPr>
          <w:b/>
          <w:bCs/>
        </w:rPr>
        <w:t xml:space="preserve">Launch market: </w:t>
      </w:r>
      <w:r>
        <w:t xml:space="preserve">Abuja, starting with property sales and standard rentals.</w:t>
      </w:r>
    </w:p>
    <w:p>
      <w:pPr>
        <w:pStyle w:val="ListParagraph"/>
        <w:numPr>
          <w:ilvl w:val="0"/>
          <w:numId w:val="2"/>
        </w:numPr>
        <w:spacing w:after="80"/>
      </w:pPr>
      <w:r>
        <w:rPr>
          <w:b/>
          <w:bCs/>
        </w:rPr>
        <w:t xml:space="preserve">Supply-side seeding: </w:t>
      </w:r>
      <w:r>
        <w:t xml:space="preserve">leveraging the founding team's existing network across government and private-sector real estate contacts to secure an initial base of real, verified listings before public launch.</w:t>
      </w:r>
    </w:p>
    <w:p>
      <w:pPr>
        <w:pStyle w:val="ListParagraph"/>
        <w:numPr>
          <w:ilvl w:val="0"/>
          <w:numId w:val="2"/>
        </w:numPr>
        <w:spacing w:after="80"/>
      </w:pPr>
      <w:r>
        <w:rPr>
          <w:b/>
          <w:bCs/>
        </w:rPr>
        <w:t xml:space="preserve">Diaspora positioning: </w:t>
      </w:r>
      <w:r>
        <w:t xml:space="preserve">diaspora Nigerians are disproportionately targeted by real estate fraud when purchasing or renting remotely, making “verified for Nigerians abroad” a specific and defensible marketing angle.</w:t>
      </w:r>
    </w:p>
    <w:p>
      <w:pPr>
        <w:pStyle w:val="ListParagraph"/>
        <w:numPr>
          <w:ilvl w:val="0"/>
          <w:numId w:val="2"/>
        </w:numPr>
        <w:spacing w:after="80"/>
      </w:pPr>
      <w:r>
        <w:rPr>
          <w:b/>
          <w:bCs/>
        </w:rPr>
        <w:t xml:space="preserve">Referral growth: </w:t>
      </w:r>
      <w:r>
        <w:t xml:space="preserve">commission-funded referral incentives for landlords and agents who bring new verified supply onto the platform, at no direct cash cost to the Company.</w:t>
      </w:r>
    </w:p>
    <w:p>
      <w:pPr>
        <w:pStyle w:val="Heading1"/>
        <w:spacing w:after="160" w:before="320"/>
      </w:pPr>
      <w:r>
        <w:t xml:space="preserve">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4E78" w:val="clear"/>
            <w:tcMar>
              <w:top w:type="dxa" w:w="100"/>
              <w:left w:type="dxa" w:w="120"/>
              <w:bottom w:type="dxa" w:w="100"/>
              <w:right w:type="dxa" w:w="120"/>
            </w:tcMar>
          </w:tcPr>
          <w:p>
            <w:r>
              <w:rPr>
                <w:b/>
                <w:bCs/>
                <w:color w:val="FFFFFF"/>
                <w:sz w:val="20"/>
                <w:szCs w:val="20"/>
              </w:rPr>
              <w:t xml:space="preserve">Phase</w:t>
            </w:r>
          </w:p>
        </w:tc>
        <w:tc>
          <w:tcPr>
            <w:tcW w:type="dxa" w:w="7100"/>
            <w:shd w:fill="1F4E78" w:val="clear"/>
            <w:tcMar>
              <w:top w:type="dxa" w:w="100"/>
              <w:left w:type="dxa" w:w="120"/>
              <w:bottom w:type="dxa" w:w="100"/>
              <w:right w:type="dxa" w:w="120"/>
            </w:tcMar>
          </w:tcPr>
          <w:p>
            <w:r>
              <w:rPr>
                <w:b/>
                <w:bCs/>
                <w:color w:val="FFFFFF"/>
                <w:sz w:val="20"/>
                <w:szCs w:val="20"/>
              </w:rPr>
              <w:t xml:space="preserve">Focus</w:t>
            </w:r>
          </w:p>
        </w:tc>
      </w:tr>
      <w:tr>
        <w:tc>
          <w:tcPr>
            <w:tcW w:type="dxa" w:w="2400"/>
            <w:tcMar>
              <w:top w:type="dxa" w:w="100"/>
              <w:left w:type="dxa" w:w="120"/>
              <w:bottom w:type="dxa" w:w="100"/>
              <w:right w:type="dxa" w:w="120"/>
            </w:tcMar>
          </w:tcPr>
          <w:p>
            <w:r>
              <w:rPr>
                <w:b w:val="false"/>
                <w:bCs w:val="false"/>
                <w:color w:val="000000"/>
                <w:sz w:val="20"/>
                <w:szCs w:val="20"/>
              </w:rPr>
              <w:t xml:space="preserve">Phase 1 — Launch</w:t>
            </w:r>
          </w:p>
        </w:tc>
        <w:tc>
          <w:tcPr>
            <w:tcW w:type="dxa" w:w="7100"/>
            <w:tcMar>
              <w:top w:type="dxa" w:w="100"/>
              <w:left w:type="dxa" w:w="120"/>
              <w:bottom w:type="dxa" w:w="100"/>
              <w:right w:type="dxa" w:w="120"/>
            </w:tcMar>
          </w:tcPr>
          <w:p>
            <w:r>
              <w:rPr>
                <w:b w:val="false"/>
                <w:bCs w:val="false"/>
                <w:color w:val="000000"/>
                <w:sz w:val="20"/>
                <w:szCs w:val="20"/>
              </w:rPr>
              <w:t xml:space="preserve">Sale and standard rental listings live in Abuja; verified agent network established; core booking and commission pipeline operating.</w:t>
            </w:r>
          </w:p>
        </w:tc>
      </w:tr>
      <w:tr>
        <w:tc>
          <w:tcPr>
            <w:tcW w:type="dxa" w:w="2400"/>
            <w:tcMar>
              <w:top w:type="dxa" w:w="100"/>
              <w:left w:type="dxa" w:w="120"/>
              <w:bottom w:type="dxa" w:w="100"/>
              <w:right w:type="dxa" w:w="120"/>
            </w:tcMar>
          </w:tcPr>
          <w:p>
            <w:r>
              <w:rPr>
                <w:b w:val="false"/>
                <w:bCs w:val="false"/>
                <w:color w:val="000000"/>
                <w:sz w:val="20"/>
                <w:szCs w:val="20"/>
              </w:rPr>
              <w:t xml:space="preserve">Phase 2 — Short-let expansion</w:t>
            </w:r>
          </w:p>
        </w:tc>
        <w:tc>
          <w:tcPr>
            <w:tcW w:type="dxa" w:w="7100"/>
            <w:tcMar>
              <w:top w:type="dxa" w:w="100"/>
              <w:left w:type="dxa" w:w="120"/>
              <w:bottom w:type="dxa" w:w="100"/>
              <w:right w:type="dxa" w:w="120"/>
            </w:tcMar>
          </w:tcPr>
          <w:p>
            <w:r>
              <w:rPr>
                <w:b w:val="false"/>
                <w:bCs w:val="false"/>
                <w:color w:val="000000"/>
                <w:sz w:val="20"/>
                <w:szCs w:val="20"/>
              </w:rPr>
              <w:t xml:space="preserve">Short-stay rentals added once the core marketplace has real usage and an established trust layer to build on.</w:t>
            </w:r>
          </w:p>
        </w:tc>
      </w:tr>
      <w:tr>
        <w:tc>
          <w:tcPr>
            <w:tcW w:type="dxa" w:w="2400"/>
            <w:tcMar>
              <w:top w:type="dxa" w:w="100"/>
              <w:left w:type="dxa" w:w="120"/>
              <w:bottom w:type="dxa" w:w="100"/>
              <w:right w:type="dxa" w:w="120"/>
            </w:tcMar>
          </w:tcPr>
          <w:p>
            <w:r>
              <w:rPr>
                <w:b w:val="false"/>
                <w:bCs w:val="false"/>
                <w:color w:val="000000"/>
                <w:sz w:val="20"/>
                <w:szCs w:val="20"/>
              </w:rPr>
              <w:t xml:space="preserve">Phase 3 — Geographic expansion</w:t>
            </w:r>
          </w:p>
        </w:tc>
        <w:tc>
          <w:tcPr>
            <w:tcW w:type="dxa" w:w="7100"/>
            <w:tcMar>
              <w:top w:type="dxa" w:w="100"/>
              <w:left w:type="dxa" w:w="120"/>
              <w:bottom w:type="dxa" w:w="100"/>
              <w:right w:type="dxa" w:w="120"/>
            </w:tcMar>
          </w:tcPr>
          <w:p>
            <w:r>
              <w:rPr>
                <w:b w:val="false"/>
                <w:bCs w:val="false"/>
                <w:color w:val="000000"/>
                <w:sz w:val="20"/>
                <w:szCs w:val="20"/>
              </w:rPr>
              <w:t xml:space="preserve">Extension beyond Abuja into additional major Nigerian cities as the model proves out.</w:t>
            </w:r>
          </w:p>
        </w:tc>
      </w:tr>
    </w:tbl>
    <w:p>
      <w:pPr>
        <w:pStyle w:val="Heading1"/>
        <w:spacing w:after="160" w:before="320"/>
      </w:pPr>
      <w:r>
        <w:t xml:space="preserve">Founding Team</w:t>
      </w:r>
    </w:p>
    <w:p>
      <w:pPr>
        <w:spacing w:after="160"/>
      </w:pPr>
      <w:r>
        <w:t xml:space="preserve">The Company is founded and built by Al-Amin Balogun, who combines a B.Sc. in Economics (Honours) with a Computer Science minor from York University, Toronto, with prior banking experience at BMO and TD Bank in Canada. He currently serves in a delivery/analyst role at a Nigerian federal government investment promotion agency, and previously co-founded a drone technology and STEM education venture. The platform is being built in-house, giving the Company a capital-efficient development model in which early funding is directed toward growth and market expansion rather than core product development.</w:t>
      </w:r>
    </w:p>
    <w:p>
      <w:pPr>
        <w:pStyle w:val="Heading1"/>
        <w:spacing w:after="160" w:before="320"/>
      </w:pPr>
      <w:r>
        <w:t xml:space="preserve">Contact</w:t>
      </w:r>
    </w:p>
    <w:p>
      <w:pPr>
        <w:spacing w:after="160"/>
      </w:pPr>
      <w:r>
        <w:t xml:space="preserve">[Name] — Founder</w:t>
      </w:r>
    </w:p>
    <w:p>
      <w:pPr>
        <w:spacing w:after="160"/>
      </w:pPr>
      <w:r>
        <w:t xml:space="preserve">[Email] | [Phone]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4E78"/>
      <w:sz w:val="30"/>
      <w:szCs w:val="30"/>
    </w:rPr>
  </w:style>
  <w:style w:type="paragraph" w:styleId="Heading2">
    <w:name w:val="Heading 2"/>
    <w:basedOn w:val="Normal"/>
    <w:next w:val="Normal"/>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2026-08-04T17:51:21.747Z</dcterms:created>
  <dcterms:modified xsi:type="dcterms:W3CDTF">2026-08-04T17:51:21.761Z</dcterms:modified>
</cp:coreProperties>
</file>

<file path=docProps/custom.xml><?xml version="1.0" encoding="utf-8"?>
<Properties xmlns="http://schemas.openxmlformats.org/officeDocument/2006/custom-properties" xmlns:vt="http://schemas.openxmlformats.org/officeDocument/2006/docPropsVTypes"/>
</file>