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76" w:lineRule="auto"/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spacing w:before="3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spacing w:before="11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3 з дисципліни </w:t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“Дослідження процесу розробки програмного забезпечення. Архітектурне та детальне проектування”</w:t>
      </w:r>
    </w:p>
    <w:p w:rsidR="00000000" w:rsidDel="00000000" w:rsidP="00000000" w:rsidRDefault="00000000" w:rsidRPr="00000000" w14:paraId="0000000B">
      <w:pPr>
        <w:spacing w:before="2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C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Коваленко Микита Артемович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Возовиков Данило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 Альона Василівна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5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Мета – отримати навички та єдині тактичні прийоми, якими повинні користуватися різні елементи системи.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Побудувати модель аналізу реалізації варіантів використання системи, що розробляється (лабораторна робота 2).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Побудувати модель проектування, яка містить проект реалізації варіантів використання, основна частина яких трасується з аналізу реалізації варіантів використання.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Висвітлити семантику класів та об’єктів, які застосовуються для чіткого розподілу обов’язків між частинами реалізації.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Уточнити діаграму класів для відображення проектних рішень стосовно узагальнення, агрегації, використанні, реалізації.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Визначити архітектуру системи, що розробляється.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Представити модель проектування та проектних рішень у результуючій діаграмі класів, об’єктів та діаграмі пакетів.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Діаграма класів аналізу варіанту використання Повідомити про стан квартири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99966" cy="3296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9966" cy="329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Діаграма класів аналізу варіанту використання Змінити освітленість, Змінити вологість, Змінити температуру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00261" cy="37552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261" cy="375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Діаграма класів аналізу варіанту використання Обрати режим</w:t>
      </w:r>
    </w:p>
    <w:p w:rsidR="00000000" w:rsidDel="00000000" w:rsidP="00000000" w:rsidRDefault="00000000" w:rsidRPr="00000000" w14:paraId="00000033">
      <w:pPr>
        <w:ind w:left="0" w:right="-16.0629921259840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3896" cy="406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896" cy="406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-16.0629921259840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425.1968503937008" w:right="57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