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w:t>
      </w:r>
    </w:p>
    <w:p w:rsidR="00000000" w:rsidDel="00000000" w:rsidP="00000000" w:rsidRDefault="00000000" w:rsidRPr="00000000" w14:paraId="0000000B">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8">
      <w:pPr>
        <w:numPr>
          <w:ilvl w:val="0"/>
          <w:numId w:val="10"/>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9">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D">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2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3">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4">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6">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3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3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3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1">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3">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7">
      <w:pPr>
        <w:numPr>
          <w:ilvl w:val="0"/>
          <w:numId w:val="5"/>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4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F">
      <w:pPr>
        <w:numPr>
          <w:ilvl w:val="0"/>
          <w:numId w:val="5"/>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numPr>
          <w:ilvl w:val="0"/>
          <w:numId w:val="5"/>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4">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9">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5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D">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5E">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5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5">
      <w:pPr>
        <w:numPr>
          <w:ilvl w:val="0"/>
          <w:numId w:val="3"/>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6">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7">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8">
      <w:pPr>
        <w:numPr>
          <w:ilvl w:val="1"/>
          <w:numId w:val="3"/>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9">
      <w:pPr>
        <w:numPr>
          <w:ilvl w:val="1"/>
          <w:numId w:val="3"/>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6A">
      <w:pPr>
        <w:numPr>
          <w:ilvl w:val="1"/>
          <w:numId w:val="3"/>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6C">
      <w:pPr>
        <w:numPr>
          <w:ilvl w:val="0"/>
          <w:numId w:val="3"/>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6D">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6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5">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7">
      <w:pPr>
        <w:numPr>
          <w:ilvl w:val="0"/>
          <w:numId w:val="4"/>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7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7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7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D">
      <w:pPr>
        <w:numPr>
          <w:ilvl w:val="0"/>
          <w:numId w:val="4"/>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8E">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8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6">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9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9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9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9">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AE">
      <w:pPr>
        <w:numPr>
          <w:ilvl w:val="0"/>
          <w:numId w:val="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0">
      <w:pPr>
        <w:numPr>
          <w:ilvl w:val="0"/>
          <w:numId w:val="8"/>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B">
      <w:pPr>
        <w:numPr>
          <w:ilvl w:val="0"/>
          <w:numId w:val="11"/>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numPr>
          <w:ilvl w:val="0"/>
          <w:numId w:val="11"/>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numPr>
          <w:ilvl w:val="0"/>
          <w:numId w:val="11"/>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C">
      <w:pPr>
        <w:numPr>
          <w:ilvl w:val="0"/>
          <w:numId w:val="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D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DE">
      <w:pPr>
        <w:numPr>
          <w:ilvl w:val="0"/>
          <w:numId w:val="2"/>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strict ordering: the resource on the left will be applied before the resource on the right.</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A">
      <w:pPr>
        <w:numPr>
          <w:ilvl w:val="0"/>
          <w:numId w:val="2"/>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Similar to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but includes a notify relationship. Changes in the left resource trigger an action in the right resource.</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6">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F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9">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B">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C">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D">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