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05.png" ContentType="image/png"/>
  <Override PartName="/word/media/rId93.png" ContentType="image/png"/>
  <Override PartName="/word/media/rId116.png" ContentType="image/png"/>
  <Override PartName="/word/media/rId122.png" ContentType="image/png"/>
  <Override PartName="/word/media/rId102.png" ContentType="image/png"/>
  <Override PartName="/word/media/rId90.png" ContentType="image/png"/>
  <Override PartName="/word/media/rId108.png" ContentType="image/png"/>
  <Override PartName="/word/media/rId96.png" ContentType="image/png"/>
  <Override PartName="/word/media/rId111.png" ContentType="image/png"/>
  <Override PartName="/word/media/rId99.png" ContentType="image/png"/>
  <Override PartName="/word/media/rId31.png" ContentType="image/png"/>
  <Override PartName="/word/media/rId58.png" ContentType="image/png"/>
  <Override PartName="/word/media/rId55.png" ContentType="image/png"/>
  <Override PartName="/word/media/rId64.png" ContentType="image/png"/>
  <Override PartName="/word/media/rId61.png" ContentType="image/png"/>
  <Override PartName="/word/media/rId79.png" ContentType="image/png"/>
  <Override PartName="/word/media/rId132.png" ContentType="image/png"/>
  <Override PartName="/word/media/rId83.png" ContentType="image/png"/>
  <Override PartName="/word/media/rId36.png" ContentType="image/png"/>
  <Override PartName="/word/media/rId26.png" ContentType="image/png"/>
  <Override PartName="/word/media/rId4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DEAC: A Defensive Ensemble Framework for</w:t>
      </w:r>
      <w:r>
        <w:br/>
      </w:r>
      <w:r>
        <w:t xml:space="preserve">Automatic Graph-Based Clustering of High-Dimensional Data</w:t>
      </w:r>
    </w:p>
    <w:p>
      <w:pPr>
        <w:pStyle w:val="Author"/>
      </w:pPr>
      <w:r>
        <w:t xml:space="preserve">Author Name</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Graph-based clustering of high-dimensional data without a known cluster count</w:t>
      </w:r>
      <w:r>
        <w:t xml:space="preserve"> </w:t>
      </w:r>
      <w:r>
        <w:t xml:space="preserve">conventionally returns the partition that maximizes an</w:t>
      </w:r>
      <w:r>
        <w:t xml:space="preserve"> </w:t>
      </w:r>
      <w:r>
        <w:rPr>
          <w:i/>
          <w:iCs/>
        </w:rPr>
        <w:t xml:space="preserve">internal</w:t>
      </w:r>
      <w:r>
        <w:t xml:space="preserve"> </w:t>
      </w:r>
      <w:r>
        <w:t xml:space="preserve">quality</w:t>
      </w:r>
      <w:r>
        <w:t xml:space="preserve"> </w:t>
      </w:r>
      <w:r>
        <w:t xml:space="preserve">score such as modularity or silhouette. We show this standard practice is</w:t>
      </w:r>
      <w:r>
        <w:t xml:space="preserve"> </w:t>
      </w:r>
      <w:r>
        <w:t xml:space="preserve">unsafe. Across twelve benchmarks, metaheuristically optimizing internal</w:t>
      </w:r>
      <w:r>
        <w:t xml:space="preserve"> </w:t>
      </w:r>
      <w:r>
        <w:t xml:space="preserve">objectives</w:t>
      </w:r>
      <w:r>
        <w:t xml:space="preserve"> </w:t>
      </w:r>
      <w:r>
        <w:rPr>
          <w:i/>
          <w:iCs/>
        </w:rPr>
        <w:t xml:space="preserve">degrades</w:t>
      </w:r>
      <w:r>
        <w:t xml:space="preserve"> </w:t>
      </w:r>
      <w:r>
        <w:t xml:space="preserve">external agreement: a differential-evolution engine</w:t>
      </w:r>
      <w:r>
        <w:t xml:space="preserve"> </w:t>
      </w:r>
      <w:r>
        <w:t xml:space="preserve">that maximizes modularity and silhouette attains mean ARI</w:t>
      </w:r>
      <w:r>
        <w:t xml:space="preserve"> </w:t>
      </w:r>
      <m:oMath>
        <m:r>
          <m:t>0.563</m:t>
        </m:r>
      </m:oMath>
      <w:r>
        <w:t xml:space="preserve">,</w:t>
      </w:r>
      <w:r>
        <w:t xml:space="preserve"> </w:t>
      </w:r>
      <w:r>
        <w:rPr>
          <w:i/>
          <w:iCs/>
        </w:rPr>
        <w:t xml:space="preserve">below</w:t>
      </w:r>
      <w:r>
        <w:t xml:space="preserve"> </w:t>
      </w:r>
      <w:r>
        <w:t xml:space="preserve">an unoptimized UMAP+Louvain baseline (</w:t>
      </w:r>
      <m:oMath>
        <m:r>
          <m:t>0.580</m:t>
        </m:r>
      </m:oMath>
      <w:r>
        <w:t xml:space="preserve">), because internal and external</w:t>
      </w:r>
      <w:r>
        <w:t xml:space="preserve"> </w:t>
      </w:r>
      <w:r>
        <w:t xml:space="preserve">quality are only weakly correlated (silhouette–ARI rank correlation</w:t>
      </w:r>
      <w:r>
        <w:t xml:space="preserve"> </w:t>
      </w:r>
      <m:oMath>
        <m:r>
          <m:rPr>
            <m:sty m:val="p"/>
          </m:rPr>
          <m:t>≈</m:t>
        </m:r>
        <m:r>
          <m:t>0.08</m:t>
        </m:r>
      </m:oMath>
      <w:r>
        <w:t xml:space="preserve">). We make this misalignment the object of study. Treating a</w:t>
      </w:r>
      <w:r>
        <w:t xml:space="preserve"> </w:t>
      </w:r>
      <w:r>
        <w:t xml:space="preserve">label-aware oracle that selects the best engine per dataset as an upper bound</w:t>
      </w:r>
      <w:r>
        <w:t xml:space="preserve"> </w:t>
      </w:r>
      <w:r>
        <w:t xml:space="preserve">(mean ARI</w:t>
      </w:r>
      <w:r>
        <w:t xml:space="preserve"> </w:t>
      </w:r>
      <m:oMath>
        <m:r>
          <m:t>0.646</m:t>
        </m:r>
      </m:oMath>
      <w:r>
        <w:t xml:space="preserve">), we ask how much of it any</w:t>
      </w:r>
      <w:r>
        <w:t xml:space="preserve"> </w:t>
      </w:r>
      <w:r>
        <w:rPr>
          <w:i/>
          <w:iCs/>
        </w:rPr>
        <w:t xml:space="preserve">label-free</w:t>
      </w:r>
      <w:r>
        <w:t xml:space="preserve"> </w:t>
      </w:r>
      <w:r>
        <w:t xml:space="preserve">rule can</w:t>
      </w:r>
      <w:r>
        <w:t xml:space="preserve"> </w:t>
      </w:r>
      <w:r>
        <w:t xml:space="preserve">recover: a three-layer</w:t>
      </w:r>
      <w:r>
        <w:t xml:space="preserve"> </w:t>
      </w:r>
      <w:r>
        <w:rPr>
          <w:i/>
          <w:iCs/>
        </w:rPr>
        <w:t xml:space="preserve">QualityGate</w:t>
      </w:r>
      <w:r>
        <w:t xml:space="preserve"> </w:t>
      </w:r>
      <w:r>
        <w:t xml:space="preserve">reaches</w:t>
      </w:r>
      <w:r>
        <w:t xml:space="preserve"> </w:t>
      </w:r>
      <m:oMath>
        <m:r>
          <m:t>0.623</m:t>
        </m:r>
      </m:oMath>
      <w:r>
        <w:t xml:space="preserve"> </w:t>
      </w:r>
      <w:r>
        <w:t xml:space="preserve">(</w:t>
      </w:r>
      <m:oMath>
        <m:r>
          <m:t>65</m:t>
        </m:r>
        <m:r>
          <m:rPr>
            <m:sty m:val="p"/>
          </m:rPr>
          <m:t>%</m:t>
        </m:r>
      </m:oMath>
      <w:r>
        <w:t xml:space="preserve"> </w:t>
      </w:r>
      <w:r>
        <w:t xml:space="preserve">of the</w:t>
      </w:r>
      <w:r>
        <w:t xml:space="preserve"> </w:t>
      </w:r>
      <w:r>
        <w:t xml:space="preserve">oracle’s gain over the baseline), and across learned, stability, and consensus</w:t>
      </w:r>
      <w:r>
        <w:t xml:space="preserve"> </w:t>
      </w:r>
      <w:r>
        <w:t xml:space="preserve">selectors the gap never closes (best</w:t>
      </w:r>
      <w:r>
        <w:t xml:space="preserve"> </w:t>
      </w:r>
      <m:oMath>
        <m:r>
          <m:t>64</m:t>
        </m:r>
        <m:r>
          <m:rPr>
            <m:sty m:val="p"/>
          </m:rPr>
          <m:t>%</m:t>
        </m:r>
      </m:oMath>
      <w:r>
        <w:t xml:space="preserve">)—evidence that it is</w:t>
      </w:r>
      <w:r>
        <w:t xml:space="preserve"> </w:t>
      </w:r>
      <w:r>
        <w:rPr>
          <w:i/>
          <w:iCs/>
        </w:rPr>
        <w:t xml:space="preserve">structural</w:t>
      </w:r>
      <w:r>
        <w:t xml:space="preserve">, not a tuning artifact. The multi-representation SNN–Leiden</w:t>
      </w:r>
      <w:r>
        <w:t xml:space="preserve"> </w:t>
      </w:r>
      <w:r>
        <w:t xml:space="preserve">ensemble the gate arbitrates (</w:t>
      </w:r>
      <w:r>
        <w:rPr>
          <w:i/>
          <w:iCs/>
        </w:rPr>
        <w:t xml:space="preserve">EMR-CGC</w:t>
      </w:r>
      <w:r>
        <w:t xml:space="preserve">,</w:t>
      </w:r>
      <w:r>
        <w:t xml:space="preserve"> </w:t>
      </w:r>
      <m:oMath>
        <m:r>
          <m:t>0.631</m:t>
        </m:r>
      </m:oMath>
      <w:r>
        <w:t xml:space="preserve">) is itself a competitive</w:t>
      </w:r>
      <w:r>
        <w:t xml:space="preserve"> </w:t>
      </w:r>
      <w:r>
        <w:t xml:space="preserve">label-free method that infers the cluster count: after Holm correction it is</w:t>
      </w:r>
      <w:r>
        <w:t xml:space="preserve"> </w:t>
      </w:r>
      <w:r>
        <w:t xml:space="preserve">statistically indistinguishable from strong classical baselines (KMeans, GMM,</w:t>
      </w:r>
      <w:r>
        <w:t xml:space="preserve"> </w:t>
      </w:r>
      <w:r>
        <w:t xml:space="preserve">Agglomerative) and the DEC/IDEC/DCN deep methods, trailing only N2D (</w:t>
      </w:r>
      <m:oMath>
        <m:r>
          <m:t>0.642</m:t>
        </m:r>
      </m:oMath>
      <w:r>
        <w:t xml:space="preserve">)—</w:t>
      </w:r>
      <w:r>
        <w:t xml:space="preserve"> </w:t>
      </w:r>
      <w:r>
        <w:t xml:space="preserve">so weak clustering is not the bottleneck; the inability to</w:t>
      </w:r>
      <w:r>
        <w:t xml:space="preserve"> </w:t>
      </w:r>
      <w:r>
        <w:rPr>
          <w:i/>
          <w:iCs/>
        </w:rPr>
        <w:t xml:space="preserve">recognize</w:t>
      </w:r>
      <w:r>
        <w:t xml:space="preserve"> </w:t>
      </w:r>
      <w:r>
        <w:t xml:space="preserve">a</w:t>
      </w:r>
      <w:r>
        <w:t xml:space="preserve"> </w:t>
      </w:r>
      <w:r>
        <w:t xml:space="preserve">good partition without labels is. We package these components as</w:t>
      </w:r>
      <w:r>
        <w:t xml:space="preserve"> </w:t>
      </w:r>
      <w:r>
        <w:rPr>
          <w:b/>
          <w:bCs/>
        </w:rPr>
        <w:t xml:space="preserve">DEAC</w:t>
      </w:r>
      <w:r>
        <w:t xml:space="preserve"> </w:t>
      </w:r>
      <w:r>
        <w:t xml:space="preserve">(Defensive Ensemble Adaptive Clustering) and release the full per-seed results</w:t>
      </w:r>
      <w:r>
        <w:t xml:space="preserve"> </w:t>
      </w:r>
      <w:r>
        <w:t xml:space="preserve">(internal scores, cluster counts, and gate decisions) with every script for verification.</w:t>
      </w:r>
    </w:p>
    <w:p>
      <w:pPr>
        <w:pStyle w:val="FirstParagraph"/>
      </w:pPr>
      <w:r>
        <w:t xml:space="preserve">Clustering, High-dimensional data, Graph-based clustering, Differential Evolution, Shared Nearest Neighbors, Leiden algorithm, UMAP, Ensemble clustering</w:t>
      </w:r>
    </w:p>
    <w:bookmarkStart w:id="11" w:name="introduction"/>
    <w:p>
      <w:pPr>
        <w:pStyle w:val="Heading1"/>
      </w:pPr>
      <w:r>
        <w:t xml:space="preserve">Introduction</w:t>
      </w:r>
    </w:p>
    <w:p>
      <w:pPr>
        <w:pStyle w:val="FirstParagraph"/>
      </w:pPr>
      <w:r>
        <w:t xml:space="preserve">Clustering seeks to uncover hidden structure in data without class labels [1]. As samples and feature dimensions both grow, clustering high-dimensional data has grown harder [2],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pPr>
      <w:r>
        <w:t xml:space="preserve">Graph-based clustering addresses the first difficulty but inherits the other two. Methods in this family [6] build a similarity graph and apply community detection [7, 8] 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pPr>
      <w:r>
        <w:t xml:space="preserve">Related Work</w:t>
      </w:r>
    </w:p>
    <w:p>
      <w:pPr>
        <w:pStyle w:val="FirstParagraph"/>
      </w:pPr>
      <w:r>
        <w:t xml:space="preserve">We group prior work into six strands and close with DEAC’s position in that space.</w:t>
      </w:r>
    </w:p>
    <w:bookmarkStart w:id="12" w:name="graph-based-clustering"/>
    <w:p>
      <w:pPr>
        <w:pStyle w:val="Heading2"/>
      </w:pPr>
      <w:r>
        <w:t xml:space="preserve">Graph-Based Clustering</w:t>
      </w:r>
    </w:p>
    <w:p>
      <w:pPr>
        <w:pStyle w:val="FirstParagraph"/>
      </w:pPr>
      <w:r>
        <w:t xml:space="preserve">Graph-based methods build a similarity graph and apply community detection. Louvain [7] maximizes modularity greedily but may return disconnected communities. Leiden [8] fixes that with a refinement phase that guarantees connectivity. Follow-up work has refined KNN-graph construction [25] and sparsified edges through pruning [26]. Whichever detector is used, the input graph depends on a prior dimensionality reduction.</w:t>
      </w:r>
    </w:p>
    <w:bookmarkEnd w:id="12"/>
    <w:bookmarkStart w:id="13" w:name="dimensionality-reduction"/>
    <w:p>
      <w:pPr>
        <w:pStyle w:val="Heading2"/>
      </w:pPr>
      <w:r>
        <w:t xml:space="preserve">Dimensionality Reduction</w:t>
      </w:r>
    </w:p>
    <w:p>
      <w:pPr>
        <w:pStyle w:val="FirstParagraph"/>
      </w:pPr>
      <w:r>
        <w:t xml:space="preserve">PCA [9] is linear and misses manifold structure. UMAP [10] preserves both local and global structure and is generally stronger than t-SNE [11] for downstream clustering [24].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pPr>
      <w:r>
        <w:t xml:space="preserve">Metaheuristic Optimization for Clustering</w:t>
      </w:r>
    </w:p>
    <w:p>
      <w:pPr>
        <w:pStyle w:val="FirstParagraph"/>
      </w:pPr>
      <w:r>
        <w:t xml:space="preserve">Differential Evolution (DE) [12] has been used to tune clustering objectives [23]. Grey Wolf Optimizer [13] with Lévy flights [14] offers more aggressive exploration, and recent hybrids [15] combine several heuristics—though they typically operate on a single representation. Representation diversity, which we pursue later, is rarely the primary target.</w:t>
      </w:r>
    </w:p>
    <w:bookmarkEnd w:id="14"/>
    <w:bookmarkStart w:id="15" w:name="snn-and-dpc-approaches"/>
    <w:p>
      <w:pPr>
        <w:pStyle w:val="Heading2"/>
      </w:pPr>
      <w:r>
        <w:t xml:space="preserve">SNN and DPC Approaches</w:t>
      </w:r>
    </w:p>
    <w:p>
      <w:pPr>
        <w:pStyle w:val="FirstParagraph"/>
      </w:pPr>
      <w:r>
        <w:t xml:space="preserve">The Shared Nearest Neighbor (SNN) score [16] sets edge weight from common neighbors rather than raw distance, which yields a more stable similarity. DPC-AKNN [17] 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pPr>
      <w:r>
        <w:t xml:space="preserve">Deep Clustering</w:t>
      </w:r>
    </w:p>
    <w:p>
      <w:pPr>
        <w:pStyle w:val="FirstParagraph"/>
      </w:pPr>
      <w:r>
        <w:t xml:space="preserve">A parallel line of work learns the representation and the clustering jointly. DEC [27] self-trains an autoencoder embedding with a KL objective; IDEC [29] adds a reconstruction term, and DCN [30] couples the autoencoder with</w:t>
      </w:r>
      <w:r>
        <w:t xml:space="preserve"> </w:t>
      </w:r>
      <m:oMath>
        <m:r>
          <m:t>k</m:t>
        </m:r>
      </m:oMath>
      <w:r>
        <w:t xml:space="preserve">-means. N2D [28] 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pPr>
      <w:r>
        <w:t xml:space="preserve">Ensemble Clustering</w:t>
      </w:r>
    </w:p>
    <w:p>
      <w:pPr>
        <w:pStyle w:val="FirstParagraph"/>
      </w:pPr>
      <w:r>
        <w:t xml:space="preserve">Ensembles [18] combine multiple partitions through co-association matrices [19] or consensus voting [20]. Most ensembles draw from a single representation, so partition diversity is bounded by that single view. These six strands together inform how DEAC is positioned.</w:t>
      </w:r>
    </w:p>
    <w:bookmarkEnd w:id="17"/>
    <w:bookmarkStart w:id="19" w:name="positioning-of-deac"/>
    <w:p>
      <w:pPr>
        <w:pStyle w:val="Heading2"/>
      </w:pPr>
      <w:r>
        <w:t xml:space="preserve">Positioning of DEAC</w:t>
      </w:r>
    </w:p>
    <w:p>
      <w:pPr>
        <w:pStyle w:val="FirstParagrap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pPr>
      <w:r>
        <w:t xml:space="preserve">Feature comparison with related methods.</w:t>
      </w:r>
    </w:p>
    <w:tbl>
      <w:tblPr>
        <w:tblStyle w:val="Table"/>
        <w:tblW w:type="auto" w:w="0"/>
        <w:tblLook w:firstRow="1" w:lastRow="0" w:firstColumn="0" w:lastColumn="0" w:noHBand="0" w:noVBand="0" w:val="0020"/>
        <w:tblCaption w:val="Feature comparison with related methods."/>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AR</w:t>
            </w:r>
          </w:p>
        </w:tc>
        <w:tc>
          <w:tcPr/>
          <w:p>
            <w:pPr>
              <w:pStyle w:val="Compact"/>
              <w:jc w:val="center"/>
            </w:pPr>
            <w:r>
              <w:t xml:space="preserve">AK</w:t>
            </w:r>
          </w:p>
        </w:tc>
        <w:tc>
          <w:tcPr/>
          <w:p>
            <w:pPr>
              <w:pStyle w:val="Compact"/>
              <w:jc w:val="center"/>
            </w:pPr>
            <w:r>
              <w:t xml:space="preserve">HO</w:t>
            </w:r>
          </w:p>
        </w:tc>
        <w:tc>
          <w:tcPr/>
          <w:p>
            <w:pPr>
              <w:pStyle w:val="Compact"/>
              <w:jc w:val="center"/>
            </w:pPr>
            <w:r>
              <w:t xml:space="preserve">EN</w:t>
            </w:r>
          </w:p>
        </w:tc>
        <w:tc>
          <w:tcPr/>
          <w:p>
            <w:pPr>
              <w:pStyle w:val="Compact"/>
              <w:jc w:val="center"/>
            </w:pPr>
            <w:r>
              <w:t xml:space="preserve">QG</w:t>
            </w:r>
          </w:p>
        </w:tc>
      </w:tr>
      <w:tr>
        <w:tc>
          <w:tcPr/>
          <w:p>
            <w:pPr>
              <w:pStyle w:val="Compact"/>
              <w:jc w:val="left"/>
            </w:pPr>
            <w:r>
              <w:t xml:space="preserve">KMeans [3]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Spectral Clustering [4]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HDBSCAN [5]</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Louvain [7]</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Leiden [8]</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DEC [27]</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DPC-AKNN [17]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Cluster Ensembles [18]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rPr>
                <w:b/>
                <w:bCs/>
              </w:rPr>
              <w:t xml:space="preserve">DEAC (ours)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18"/>
    <w:bookmarkEnd w:id="19"/>
    <w:bookmarkEnd w:id="20"/>
    <w:bookmarkStart w:id="50" w:name="sec:method"/>
    <w:p>
      <w:pPr>
        <w:pStyle w:val="Heading1"/>
      </w:pPr>
      <w:r>
        <w:t xml:space="preserve">Proposed Method: DEAC Framework</w:t>
      </w:r>
    </w:p>
    <w:bookmarkStart w:id="25" w:name="system-overview"/>
    <w:p>
      <w:pPr>
        <w:pStyle w:val="Heading2"/>
      </w:pPr>
      <w:r>
        <w:t xml:space="preserve">System Overview</w:t>
      </w:r>
    </w:p>
    <w:p>
      <w:pPr>
        <w:pStyle w:val="FirstParagrap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3467100" cy="2311400"/>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pPr>
      <w:r>
        <w:t xml:space="preserve">Graph-Based Clustering Pipeline</w:t>
      </w:r>
    </w:p>
    <w:p>
      <w:pPr>
        <w:pStyle w:val="FirstParagrap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1733340" cy="1002793"/>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733340" cy="1002793"/>
                          </a:xfrm>
                          <a:prstGeom prst="rect">
                            <a:avLst/>
                          </a:prstGeom>
                          <a:noFill/>
                          <a:ln w="9525">
                            <a:noFill/>
                            <a:headEnd/>
                            <a:tailEnd/>
                          </a:ln>
                        </pic:spPr>
                      </pic:pic>
                    </a:graphicData>
                  </a:graphic>
                </wp:inline>
              </w:drawing>
            </w:r>
          </w:p>
        </w:tc>
        <w:tc>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pPr>
      <w:r>
        <w:t xml:space="preserve">Graph-based clustering pipeline (8 steps) shared by both engines. Key equations for KNN/SNN weighting and quality metrics are shown below.</w:t>
      </w:r>
    </w:p>
    <w:bookmarkEnd w:id="29"/>
    <w:bookmarkEnd w:id="30"/>
    <w:bookmarkStart w:id="35" w:name="engine-1-amr-de"/>
    <w:p>
      <w:pPr>
        <w:pStyle w:val="Heading2"/>
      </w:pPr>
      <w:r>
        <w:t xml:space="preserve">Engine 1: AMR-DE</w:t>
      </w:r>
    </w:p>
    <w:p>
      <w:pPr>
        <w:pStyle w:val="FirstParagrap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3467100" cy="2600325"/>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pPr>
      <w:r>
        <w:t xml:space="preserve">Engine 2: EMR-CGC</w:t>
      </w:r>
    </w:p>
    <w:p>
      <w:pPr>
        <w:pStyle w:val="FirstParagrap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pPr>
      <w:r>
        <w:t xml:space="preserve">captures structural similarity through shared neighbors and is less affected by noise and varying density than raw distance. The best base clustering is chosen by</w:t>
      </w:r>
    </w:p>
    <w:p>
      <w:pPr>
        <w:pStyle w:val="BodyText"/>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pPr>
      <w:r>
        <w:t xml:space="preserve">With two independent candidates in hand, arbitration becomes the next question.</w:t>
      </w:r>
    </w:p>
    <w:bookmarkStart w:id="39" w:name="fig:emrcgc"/>
    <w:p>
      <w:pPr>
        <w:pStyle w:val="CaptionedFigure"/>
      </w:pPr>
      <w:r>
        <w:drawing>
          <wp:inline>
            <wp:extent cx="3467100" cy="2311400"/>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Engine 2 (EMR-CGC): Ensemble of 60 base clusterings from 5 representations</w:t>
      </w:r>
      <w:r>
        <w:t xml:space="preserve"> </w:t>
      </w:r>
      <m:oMath>
        <m:r>
          <m:rPr>
            <m:sty m:val="p"/>
          </m:rPr>
          <m:t>×</m:t>
        </m:r>
      </m:oMath>
      <w:r>
        <w:t xml:space="preserve"> </w:t>
      </w:r>
      <w:r>
        <w:t xml:space="preserve">12 graph configurations, using SNN graphs with Leiden community detection. Best run is selected by quality score.</w:t>
      </w:r>
    </w:p>
    <w:bookmarkEnd w:id="39"/>
    <w:bookmarkEnd w:id="40"/>
    <w:bookmarkStart w:id="45" w:name="qualitygate"/>
    <w:p>
      <w:pPr>
        <w:pStyle w:val="Heading2"/>
      </w:pPr>
      <w:r>
        <w:t xml:space="preserve">QualityGate</w:t>
      </w:r>
    </w:p>
    <w:p>
      <w:pPr>
        <w:pStyle w:val="FirstParagrap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In Fig. </w:t>
      </w:r>
      <w:hyperlink w:anchor="fig:qg">
        <w:r>
          <w:rPr>
            <w:rStyle w:val="Hyperlink"/>
          </w:rPr>
          <w:t xml:space="preserve">5</w:t>
        </w:r>
      </w:hyperlink>
      <w:r>
        <w:t xml:space="preserve">,</w:t>
      </w:r>
      <w:r>
        <w:t xml:space="preserve"> </w:t>
      </w:r>
      <m:oMath>
        <m:r>
          <m:t>B</m:t>
        </m:r>
      </m:oMath>
      <w:r>
        <w:t xml:space="preserve"> </w:t>
      </w:r>
      <w:r>
        <w:t xml:space="preserve">denotes the baseline partition</w:t>
      </w:r>
      <w:r>
        <w:t xml:space="preserve"> </w:t>
      </w:r>
      <m:oMath>
        <m:sSub>
          <m:e>
            <m:acc>
              <m:accPr>
                <m:chr m:val="̂"/>
              </m:accPr>
              <m:e>
                <m:r>
                  <m:rPr>
                    <m:sty m:val="bi"/>
                  </m:rPr>
                  <m:t>y</m:t>
                </m:r>
              </m:e>
            </m:acc>
          </m:e>
          <m:sub>
            <m:r>
              <m:t>B</m:t>
            </m:r>
          </m:sub>
        </m:sSub>
      </m:oMath>
      <w:r>
        <w:t xml:space="preserve"> </w:t>
      </w:r>
      <w:r>
        <w:t xml:space="preserve">and</w:t>
      </w:r>
      <w:r>
        <w:t xml:space="preserve"> </w:t>
      </w:r>
      <m:oMath>
        <m:r>
          <m:t>H</m:t>
        </m:r>
      </m:oMath>
      <w:r>
        <w:t xml:space="preserve"> </w:t>
      </w:r>
      <w:r>
        <w:t xml:space="preserve">(the challenger, labelled</w:t>
      </w:r>
      <w:r>
        <w:t xml:space="preserve"> </w:t>
      </w:r>
      <w:r>
        <w:t xml:space="preserve">“hybrid”</w:t>
      </w:r>
      <w:r>
        <w:t xml:space="preserve"> </w:t>
      </w:r>
      <w:r>
        <w:t xml:space="preserve">there) is whichever engine output</w:t>
      </w:r>
      <w:r>
        <w:t xml:space="preserve"> </w:t>
      </w:r>
      <m:oMath>
        <m:sSub>
          <m:e>
            <m:acc>
              <m:accPr>
                <m:chr m:val="̂"/>
              </m:accPr>
              <m:e>
                <m:r>
                  <m:rPr>
                    <m:sty m:val="bi"/>
                  </m:rPr>
                  <m:t>y</m:t>
                </m:r>
              </m:e>
            </m:acc>
          </m:e>
          <m:sub>
            <m:r>
              <m:t>D</m:t>
            </m:r>
            <m:r>
              <m:t>E</m:t>
            </m:r>
          </m:sub>
        </m:sSub>
      </m:oMath>
      <w:r>
        <w:t xml:space="preserve"> </w:t>
      </w:r>
      <w:r>
        <w:t xml:space="preserve">or</w:t>
      </w:r>
      <w:r>
        <w:t xml:space="preserve"> </w:t>
      </w:r>
      <m:oMath>
        <m:sSub>
          <m:e>
            <m:acc>
              <m:accPr>
                <m:chr m:val="̂"/>
              </m:accPr>
              <m:e>
                <m:r>
                  <m:rPr>
                    <m:sty m:val="bi"/>
                  </m:rPr>
                  <m:t>y</m:t>
                </m:r>
              </m:e>
            </m:acc>
          </m:e>
          <m:sub>
            <m:r>
              <m:t>E</m:t>
            </m:r>
            <m:r>
              <m:t>M</m:t>
            </m:r>
            <m:r>
              <m:t>R</m:t>
            </m:r>
          </m:sub>
        </m:sSub>
      </m:oMath>
      <w:r>
        <w:t xml:space="preserve"> </w:t>
      </w:r>
      <w:r>
        <w:t xml:space="preserve">scores higher internally; the gate accepts</w:t>
      </w:r>
      <w:r>
        <w:t xml:space="preserve"> </w:t>
      </w:r>
      <m:oMath>
        <m:r>
          <m:t>H</m:t>
        </m:r>
      </m:oMath>
      <w:r>
        <w:t xml:space="preserve"> </w:t>
      </w:r>
      <w:r>
        <w:t xml:space="preserve">only when it clears all three layers and otherwise falls back to</w:t>
      </w:r>
      <w:r>
        <w:t xml:space="preserve"> </w:t>
      </w:r>
      <m:oMath>
        <m:r>
          <m:t>B</m:t>
        </m:r>
      </m:oMath>
      <w:r>
        <w:t xml:space="preserve">.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5334000" cy="6230663"/>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5334000" cy="6230663"/>
                    </a:xfrm>
                    <a:prstGeom prst="rect">
                      <a:avLst/>
                    </a:prstGeom>
                    <a:noFill/>
                    <a:ln w="9525">
                      <a:noFill/>
                      <a:headEnd/>
                      <a:tailEnd/>
                    </a:ln>
                  </pic:spPr>
                </pic:pic>
              </a:graphicData>
            </a:graphic>
          </wp:inline>
        </w:drawing>
      </w:r>
    </w:p>
    <w:p>
      <w:pPr>
        <w:pStyle w:val="ImageCaption"/>
      </w:pPr>
      <w: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pPr>
      <w:r>
        <w:t xml:space="preserve">Design Rationale</w:t>
      </w:r>
    </w:p>
    <w:p>
      <w:pPr>
        <w:pStyle w:val="FirstParagrap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[31].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pPr>
      <w:r>
        <w:t xml:space="preserve">Size-adaptive over-fragmentation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per dataset. Below the floor/</w:t>
      </w:r>
      <m:oMath>
        <m:rad>
          <m:radPr>
            <m:degHide m:val="on"/>
          </m:radPr>
          <m:deg/>
          <m:e>
            <m:r>
              <m:t>n</m:t>
            </m:r>
          </m:e>
        </m:rad>
      </m:oMath>
      <w:r>
        <w:t xml:space="preserve"> </w:t>
      </w:r>
      <w:r>
        <w:t xml:space="preserve">crossover (</w:t>
      </w:r>
      <m:oMath>
        <m:r>
          <m:t>n</m:t>
        </m:r>
        <m:r>
          <m:rPr>
            <m:sty m:val="p"/>
          </m:rPr>
          <m:t>=</m:t>
        </m:r>
        <m:r>
          <m:t>800</m:t>
        </m:r>
      </m:oMath>
      <w:r>
        <w:t xml:space="preserve">) the constant floor governs; above it the</w:t>
      </w:r>
      <w:r>
        <w:t xml:space="preserve"> </w:t>
      </w:r>
      <m:oMath>
        <m:rad>
          <m:radPr>
            <m:degHide m:val="on"/>
          </m:radPr>
          <m:deg/>
          <m:e>
            <m:r>
              <m:t>n</m:t>
            </m:r>
          </m:e>
        </m:rad>
      </m:oMath>
      <w:r>
        <w:t xml:space="preserve"> </w:t>
      </w:r>
      <w:r>
        <w:t xml:space="preserve">term governs.</w:t>
      </w:r>
    </w:p>
    <w:tbl>
      <w:tblPr>
        <w:tblStyle w:val="Table"/>
        <w:tblW w:type="auto" w:w="0"/>
        <w:tblLook w:firstRow="1" w:lastRow="0" w:firstColumn="0" w:lastColumn="0" w:noHBand="0" w:noVBand="0" w:val="0020"/>
        <w:tblCaption w:val="Size-adaptive over-fragmentation threshold \rho=\max(4,\sqrt{n/50}) per dataset. Below the floor/\sqrt{n} crossover (n{=}800) the constant floor governs; above it the \sqrt{n} term governs."/>
      </w:tblPr>
      <w:tblGrid>
        <w:gridCol w:w="1980"/>
        <w:gridCol w:w="1980"/>
        <w:gridCol w:w="1980"/>
        <w:gridCol w:w="1980"/>
      </w:tblGrid>
      <w:tr>
        <w:trPr>
          <w:tblHeader w:val="on"/>
        </w:trPr>
        <w:tc>
          <w:tcPr/>
          <w:p>
            <w:pPr>
              <w:pStyle w:val="Compact"/>
              <w:jc w:val="left"/>
            </w:pPr>
            <w:r>
              <w:t xml:space="preserve">Dataset</w:t>
            </w:r>
          </w:p>
        </w:tc>
        <w:tc>
          <w:tcPr/>
          <w:p>
            <w:pPr>
              <w:pStyle w:val="Compact"/>
              <w:jc w:val="right"/>
            </w:pPr>
            <m:oMath>
              <m:r>
                <m:t>n</m:t>
              </m:r>
            </m:oMath>
          </w:p>
        </w:tc>
        <w:tc>
          <w:tcPr/>
          <w:p>
            <w:pPr>
              <w:pStyle w:val="Compact"/>
              <w:jc w:val="center"/>
            </w:pPr>
            <m:oMath>
              <m:rad>
                <m:radPr>
                  <m:degHide m:val="on"/>
                </m:radPr>
                <m:deg/>
                <m:e>
                  <m:r>
                    <m:t>n</m:t>
                  </m:r>
                  <m:r>
                    <m:rPr>
                      <m:sty m:val="p"/>
                    </m:rPr>
                    <m:t>/</m:t>
                  </m:r>
                  <m:r>
                    <m:t>50</m:t>
                  </m:r>
                </m:e>
              </m:rad>
            </m:oMath>
          </w:p>
        </w:tc>
        <w:tc>
          <w:tcPr/>
          <w:p>
            <w:pPr>
              <w:pStyle w:val="Compact"/>
              <w:jc w:val="center"/>
            </w:pPr>
            <m:oMath>
              <m:r>
                <m:t>ρ</m:t>
              </m:r>
            </m:oMath>
            <w:r>
              <w:t xml:space="preserve"> </w:t>
            </w:r>
            <w:r>
              <w:t xml:space="preserve">(regime)</w:t>
            </w:r>
          </w:p>
        </w:tc>
      </w:tr>
      <w:tr>
        <w:tc>
          <w:tcPr/>
          <w:p>
            <w:pPr>
              <w:pStyle w:val="Compact"/>
              <w:jc w:val="left"/>
            </w:pPr>
            <w:r>
              <w:t xml:space="preserve">Wine</w:t>
            </w:r>
          </w:p>
        </w:tc>
        <w:tc>
          <w:tcPr/>
          <w:p>
            <w:pPr>
              <w:pStyle w:val="Compact"/>
              <w:jc w:val="right"/>
            </w:pPr>
            <w:r>
              <w:t xml:space="preserve">178</w:t>
            </w:r>
          </w:p>
        </w:tc>
        <w:tc>
          <w:tcPr/>
          <w:p>
            <w:pPr>
              <w:pStyle w:val="Compact"/>
              <w:jc w:val="center"/>
            </w:pPr>
            <w:r>
              <w:t xml:space="preserve">1.89</w:t>
            </w:r>
          </w:p>
        </w:tc>
        <w:tc>
          <w:tcPr/>
          <w:p>
            <w:pPr>
              <w:pStyle w:val="Compact"/>
              <w:jc w:val="center"/>
            </w:pPr>
            <w:r>
              <w:t xml:space="preserve">4.00 (floor)</w:t>
            </w:r>
          </w:p>
        </w:tc>
      </w:tr>
      <w:tr>
        <w:tc>
          <w:tcPr/>
          <w:p>
            <w:pPr>
              <w:pStyle w:val="Compact"/>
              <w:jc w:val="left"/>
            </w:pPr>
            <w:r>
              <w:t xml:space="preserve">Glass</w:t>
            </w:r>
          </w:p>
        </w:tc>
        <w:tc>
          <w:tcPr/>
          <w:p>
            <w:pPr>
              <w:pStyle w:val="Compact"/>
              <w:jc w:val="right"/>
            </w:pPr>
            <w:r>
              <w:t xml:space="preserve">214</w:t>
            </w:r>
          </w:p>
        </w:tc>
        <w:tc>
          <w:tcPr/>
          <w:p>
            <w:pPr>
              <w:pStyle w:val="Compact"/>
              <w:jc w:val="center"/>
            </w:pPr>
            <w:r>
              <w:t xml:space="preserve">2.07</w:t>
            </w:r>
          </w:p>
        </w:tc>
        <w:tc>
          <w:tcPr/>
          <w:p>
            <w:pPr>
              <w:pStyle w:val="Compact"/>
              <w:jc w:val="center"/>
            </w:pPr>
            <w:r>
              <w:t xml:space="preserve">4.00 (floor)</w:t>
            </w:r>
          </w:p>
        </w:tc>
      </w:tr>
      <w:tr>
        <w:tc>
          <w:tcPr/>
          <w:p>
            <w:pPr>
              <w:pStyle w:val="Compact"/>
              <w:jc w:val="left"/>
            </w:pPr>
            <w:r>
              <w:t xml:space="preserve">Olivetti</w:t>
            </w:r>
          </w:p>
        </w:tc>
        <w:tc>
          <w:tcPr/>
          <w:p>
            <w:pPr>
              <w:pStyle w:val="Compact"/>
              <w:jc w:val="right"/>
            </w:pPr>
            <w:r>
              <w:t xml:space="preserve">400</w:t>
            </w:r>
          </w:p>
        </w:tc>
        <w:tc>
          <w:tcPr/>
          <w:p>
            <w:pPr>
              <w:pStyle w:val="Compact"/>
              <w:jc w:val="center"/>
            </w:pPr>
            <w:r>
              <w:t xml:space="preserve">2.83</w:t>
            </w:r>
          </w:p>
        </w:tc>
        <w:tc>
          <w:tcPr/>
          <w:p>
            <w:pPr>
              <w:pStyle w:val="Compact"/>
              <w:jc w:val="center"/>
            </w:pPr>
            <w:r>
              <w:t xml:space="preserve">4.00 (floor)</w:t>
            </w:r>
          </w:p>
        </w:tc>
      </w:tr>
      <w:tr>
        <w:tc>
          <w:tcPr/>
          <w:p>
            <w:pPr>
              <w:pStyle w:val="Compact"/>
              <w:jc w:val="left"/>
            </w:pPr>
            <w:r>
              <w:t xml:space="preserve">CNAE-9</w:t>
            </w:r>
          </w:p>
        </w:tc>
        <w:tc>
          <w:tcPr/>
          <w:p>
            <w:pPr>
              <w:pStyle w:val="Compact"/>
              <w:jc w:val="right"/>
            </w:pPr>
            <w:r>
              <w:t xml:space="preserve">1080</w:t>
            </w:r>
          </w:p>
        </w:tc>
        <w:tc>
          <w:tcPr/>
          <w:p>
            <w:pPr>
              <w:pStyle w:val="Compact"/>
              <w:jc w:val="center"/>
            </w:pPr>
            <w:r>
              <w:t xml:space="preserve">4.65</w:t>
            </w:r>
          </w:p>
        </w:tc>
        <w:tc>
          <w:tcPr/>
          <w:p>
            <w:pPr>
              <w:pStyle w:val="Compact"/>
              <w:jc w:val="center"/>
            </w:pPr>
            <w:r>
              <w:t xml:space="preserve">4.65 (</w:t>
            </w:r>
            <m:oMath>
              <m:rad>
                <m:radPr>
                  <m:degHide m:val="on"/>
                </m:radPr>
                <m:deg/>
                <m:e>
                  <m:r>
                    <m:t>n</m:t>
                  </m:r>
                </m:e>
              </m:rad>
            </m:oMath>
            <w:r>
              <w:t xml:space="preserve">)</w:t>
            </w:r>
          </w:p>
        </w:tc>
      </w:tr>
      <w:tr>
        <w:tc>
          <w:tcPr/>
          <w:p>
            <w:pPr>
              <w:pStyle w:val="Compact"/>
              <w:jc w:val="left"/>
            </w:pPr>
            <w:r>
              <w:t xml:space="preserve">COIL-20</w:t>
            </w:r>
          </w:p>
        </w:tc>
        <w:tc>
          <w:tcPr/>
          <w:p>
            <w:pPr>
              <w:pStyle w:val="Compact"/>
              <w:jc w:val="right"/>
            </w:pPr>
            <w:r>
              <w:t xml:space="preserve">1440</w:t>
            </w:r>
          </w:p>
        </w:tc>
        <w:tc>
          <w:tcPr/>
          <w:p>
            <w:pPr>
              <w:pStyle w:val="Compact"/>
              <w:jc w:val="center"/>
            </w:pPr>
            <w:r>
              <w:t xml:space="preserve">5.37</w:t>
            </w:r>
          </w:p>
        </w:tc>
        <w:tc>
          <w:tcPr/>
          <w:p>
            <w:pPr>
              <w:pStyle w:val="Compact"/>
              <w:jc w:val="center"/>
            </w:pPr>
            <w:r>
              <w:t xml:space="preserve">5.37 (</w:t>
            </w:r>
            <m:oMath>
              <m:rad>
                <m:radPr>
                  <m:degHide m:val="on"/>
                </m:radPr>
                <m:deg/>
                <m:e>
                  <m:r>
                    <m:t>n</m:t>
                  </m:r>
                </m:e>
              </m:rad>
            </m:oMath>
            <w:r>
              <w:t xml:space="preserve">)</w:t>
            </w:r>
          </w:p>
        </w:tc>
      </w:tr>
      <w:tr>
        <w:tc>
          <w:tcPr/>
          <w:p>
            <w:pPr>
              <w:pStyle w:val="Compact"/>
              <w:jc w:val="left"/>
            </w:pPr>
            <w:r>
              <w:t xml:space="preserve">Optdigits</w:t>
            </w:r>
          </w:p>
        </w:tc>
        <w:tc>
          <w:tcPr/>
          <w:p>
            <w:pPr>
              <w:pStyle w:val="Compact"/>
              <w:jc w:val="right"/>
            </w:pPr>
            <w:r>
              <w:t xml:space="preserve">1797</w:t>
            </w:r>
          </w:p>
        </w:tc>
        <w:tc>
          <w:tcPr/>
          <w:p>
            <w:pPr>
              <w:pStyle w:val="Compact"/>
              <w:jc w:val="center"/>
            </w:pPr>
            <w:r>
              <w:t xml:space="preserve">5.99</w:t>
            </w:r>
          </w:p>
        </w:tc>
        <w:tc>
          <w:tcPr/>
          <w:p>
            <w:pPr>
              <w:pStyle w:val="Compact"/>
              <w:jc w:val="center"/>
            </w:pPr>
            <w:r>
              <w:t xml:space="preserve">5.99 (</w:t>
            </w:r>
            <m:oMath>
              <m:rad>
                <m:radPr>
                  <m:degHide m:val="on"/>
                </m:radPr>
                <m:deg/>
                <m:e>
                  <m:r>
                    <m:t>n</m:t>
                  </m:r>
                </m:e>
              </m:rad>
            </m:oMath>
            <w:r>
              <w:t xml:space="preserve">)</w:t>
            </w:r>
          </w:p>
        </w:tc>
      </w:tr>
      <w:tr>
        <w:tc>
          <w:tcPr/>
          <w:p>
            <w:pPr>
              <w:pStyle w:val="Compact"/>
              <w:jc w:val="left"/>
            </w:pPr>
            <w:r>
              <w:t xml:space="preserve">MFeat</w:t>
            </w:r>
          </w:p>
        </w:tc>
        <w:tc>
          <w:tcPr/>
          <w:p>
            <w:pPr>
              <w:pStyle w:val="Compact"/>
              <w:jc w:val="right"/>
            </w:pPr>
            <w:r>
              <w:t xml:space="preserve">2000</w:t>
            </w:r>
          </w:p>
        </w:tc>
        <w:tc>
          <w:tcPr/>
          <w:p>
            <w:pPr>
              <w:pStyle w:val="Compact"/>
              <w:jc w:val="center"/>
            </w:pPr>
            <w:r>
              <w:t xml:space="preserve">6.32</w:t>
            </w:r>
          </w:p>
        </w:tc>
        <w:tc>
          <w:tcPr/>
          <w:p>
            <w:pPr>
              <w:pStyle w:val="Compact"/>
              <w:jc w:val="center"/>
            </w:pPr>
            <w:r>
              <w:t xml:space="preserve">6.32 (</w:t>
            </w:r>
            <m:oMath>
              <m:rad>
                <m:radPr>
                  <m:degHide m:val="on"/>
                </m:radPr>
                <m:deg/>
                <m:e>
                  <m:r>
                    <m:t>n</m:t>
                  </m:r>
                </m:e>
              </m:rad>
            </m:oMath>
            <w:r>
              <w:t xml:space="preserve">)</w:t>
            </w:r>
          </w:p>
        </w:tc>
      </w:tr>
      <w:tr>
        <w:tc>
          <w:tcPr/>
          <w:p>
            <w:pPr>
              <w:pStyle w:val="Compact"/>
              <w:jc w:val="left"/>
            </w:pPr>
            <w:r>
              <w:t xml:space="preserve">Segmentation</w:t>
            </w:r>
          </w:p>
        </w:tc>
        <w:tc>
          <w:tcPr/>
          <w:p>
            <w:pPr>
              <w:pStyle w:val="Compact"/>
              <w:jc w:val="right"/>
            </w:pPr>
            <w:r>
              <w:t xml:space="preserve">2310</w:t>
            </w:r>
          </w:p>
        </w:tc>
        <w:tc>
          <w:tcPr/>
          <w:p>
            <w:pPr>
              <w:pStyle w:val="Compact"/>
              <w:jc w:val="center"/>
            </w:pPr>
            <w:r>
              <w:t xml:space="preserve">6.80</w:t>
            </w:r>
          </w:p>
        </w:tc>
        <w:tc>
          <w:tcPr/>
          <w:p>
            <w:pPr>
              <w:pStyle w:val="Compact"/>
              <w:jc w:val="center"/>
            </w:pPr>
            <w:r>
              <w:t xml:space="preserve">6.80 (</w:t>
            </w:r>
            <m:oMath>
              <m:rad>
                <m:radPr>
                  <m:degHide m:val="on"/>
                </m:radPr>
                <m:deg/>
                <m:e>
                  <m:r>
                    <m:t>n</m:t>
                  </m:r>
                </m:e>
              </m:rad>
            </m:oMath>
            <w:r>
              <w:t xml:space="preserve">)</w:t>
            </w:r>
          </w:p>
        </w:tc>
      </w:tr>
      <w:tr>
        <w:tc>
          <w:tcPr/>
          <w:p>
            <w:pPr>
              <w:pStyle w:val="Compact"/>
              <w:jc w:val="left"/>
            </w:pPr>
            <w:r>
              <w:t xml:space="preserve">ISOLET</w:t>
            </w:r>
          </w:p>
        </w:tc>
        <w:tc>
          <w:tcPr/>
          <w:p>
            <w:pPr>
              <w:pStyle w:val="Compact"/>
              <w:jc w:val="right"/>
            </w:pPr>
            <w:r>
              <w:t xml:space="preserve">6006</w:t>
            </w:r>
          </w:p>
        </w:tc>
        <w:tc>
          <w:tcPr/>
          <w:p>
            <w:pPr>
              <w:pStyle w:val="Compact"/>
              <w:jc w:val="center"/>
            </w:pPr>
            <w:r>
              <w:t xml:space="preserve">10.96</w:t>
            </w:r>
          </w:p>
        </w:tc>
        <w:tc>
          <w:tcPr/>
          <w:p>
            <w:pPr>
              <w:pStyle w:val="Compact"/>
              <w:jc w:val="center"/>
            </w:pPr>
            <w:r>
              <w:t xml:space="preserve">10.96 (</w:t>
            </w:r>
            <m:oMath>
              <m:rad>
                <m:radPr>
                  <m:degHide m:val="on"/>
                </m:radPr>
                <m:deg/>
                <m:e>
                  <m:r>
                    <m:t>n</m:t>
                  </m:r>
                </m:e>
              </m:rad>
            </m:oMath>
            <w:r>
              <w:t xml:space="preserve">)</w:t>
            </w:r>
          </w:p>
        </w:tc>
      </w:tr>
      <w:tr>
        <w:tc>
          <w:tcPr/>
          <w:p>
            <w:pPr>
              <w:pStyle w:val="Compact"/>
              <w:jc w:val="left"/>
            </w:pPr>
            <w:r>
              <w:t xml:space="preserve">Satimage</w:t>
            </w:r>
          </w:p>
        </w:tc>
        <w:tc>
          <w:tcPr/>
          <w:p>
            <w:pPr>
              <w:pStyle w:val="Compact"/>
              <w:jc w:val="right"/>
            </w:pPr>
            <w:r>
              <w:t xml:space="preserve">6430</w:t>
            </w:r>
          </w:p>
        </w:tc>
        <w:tc>
          <w:tcPr/>
          <w:p>
            <w:pPr>
              <w:pStyle w:val="Compact"/>
              <w:jc w:val="center"/>
            </w:pPr>
            <w:r>
              <w:t xml:space="preserve">11.34</w:t>
            </w:r>
          </w:p>
        </w:tc>
        <w:tc>
          <w:tcPr/>
          <w:p>
            <w:pPr>
              <w:pStyle w:val="Compact"/>
              <w:jc w:val="center"/>
            </w:pPr>
            <w:r>
              <w:t xml:space="preserve">11.34 (</w:t>
            </w:r>
            <m:oMath>
              <m:rad>
                <m:radPr>
                  <m:degHide m:val="on"/>
                </m:radPr>
                <m:deg/>
                <m:e>
                  <m:r>
                    <m:t>n</m:t>
                  </m:r>
                </m:e>
              </m:rad>
            </m:oMath>
            <w:r>
              <w:t xml:space="preserve">)</w:t>
            </w:r>
          </w:p>
        </w:tc>
      </w:tr>
      <w:tr>
        <w:tc>
          <w:tcPr/>
          <w:p>
            <w:pPr>
              <w:pStyle w:val="Compact"/>
              <w:jc w:val="left"/>
            </w:pPr>
            <w:r>
              <w:t xml:space="preserve">USPS</w:t>
            </w:r>
          </w:p>
        </w:tc>
        <w:tc>
          <w:tcPr/>
          <w:p>
            <w:pPr>
              <w:pStyle w:val="Compact"/>
              <w:jc w:val="right"/>
            </w:pPr>
            <w:r>
              <w:t xml:space="preserve">9298</w:t>
            </w:r>
          </w:p>
        </w:tc>
        <w:tc>
          <w:tcPr/>
          <w:p>
            <w:pPr>
              <w:pStyle w:val="Compact"/>
              <w:jc w:val="center"/>
            </w:pPr>
            <w:r>
              <w:t xml:space="preserve">13.64</w:t>
            </w:r>
          </w:p>
        </w:tc>
        <w:tc>
          <w:tcPr/>
          <w:p>
            <w:pPr>
              <w:pStyle w:val="Compact"/>
              <w:jc w:val="center"/>
            </w:pPr>
            <w:r>
              <w:t xml:space="preserve">13.64 (</w:t>
            </w:r>
            <m:oMath>
              <m:rad>
                <m:radPr>
                  <m:degHide m:val="on"/>
                </m:radPr>
                <m:deg/>
                <m:e>
                  <m:r>
                    <m:t>n</m:t>
                  </m:r>
                </m:e>
              </m:rad>
            </m:oMath>
            <w:r>
              <w:t xml:space="preserve">)</w:t>
            </w:r>
          </w:p>
        </w:tc>
      </w:tr>
      <w:tr>
        <w:tc>
          <w:tcPr/>
          <w:p>
            <w:pPr>
              <w:pStyle w:val="Compact"/>
              <w:jc w:val="left"/>
            </w:pPr>
            <w:r>
              <w:t xml:space="preserve">PenDigits</w:t>
            </w:r>
          </w:p>
        </w:tc>
        <w:tc>
          <w:tcPr/>
          <w:p>
            <w:pPr>
              <w:pStyle w:val="Compact"/>
              <w:jc w:val="right"/>
            </w:pPr>
            <w:r>
              <w:t xml:space="preserve">10992</w:t>
            </w:r>
          </w:p>
        </w:tc>
        <w:tc>
          <w:tcPr/>
          <w:p>
            <w:pPr>
              <w:pStyle w:val="Compact"/>
              <w:jc w:val="center"/>
            </w:pPr>
            <w:r>
              <w:t xml:space="preserve">14.83</w:t>
            </w:r>
          </w:p>
        </w:tc>
        <w:tc>
          <w:tcPr/>
          <w:p>
            <w:pPr>
              <w:pStyle w:val="Compact"/>
              <w:jc w:val="center"/>
            </w:pPr>
            <w:r>
              <w:t xml:space="preserve">14.83 (</w:t>
            </w:r>
            <m:oMath>
              <m:rad>
                <m:radPr>
                  <m:degHide m:val="on"/>
                </m:radPr>
                <m:deg/>
                <m:e>
                  <m:r>
                    <m:t>n</m:t>
                  </m:r>
                </m:e>
              </m:rad>
            </m:oMath>
            <w:r>
              <w:t xml:space="preserve">)</w:t>
            </w:r>
          </w:p>
        </w:tc>
      </w:tr>
    </w:tbl>
    <w:bookmarkEnd w:id="46"/>
    <w:p>
      <w:pPr>
        <w:pStyle w:val="BodyText"/>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pPr>
      <w:r>
        <w:t xml:space="preserve">QualityGate sensitivity (12 datasets, 5 seeds). Mean ARI as each constant varies around its default (floor 4,</w:t>
      </w:r>
      <w:r>
        <w:t xml:space="preserve"> </w:t>
      </w:r>
      <m:oMath>
        <m:r>
          <m:t>c</m:t>
        </m:r>
        <m:r>
          <m:rPr>
            <m:sty m:val="p"/>
          </m:rPr>
          <m:t>=</m:t>
        </m:r>
        <m:r>
          <m:t>50</m:t>
        </m:r>
      </m:oMath>
      <w: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auto" w:w="0"/>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Pr>
      <w:tblGrid>
        <w:gridCol w:w="2640"/>
        <w:gridCol w:w="2640"/>
        <w:gridCol w:w="2640"/>
      </w:tblGrid>
      <w:tr>
        <w:trPr>
          <w:tblHeader w:val="on"/>
        </w:trPr>
        <w:tc>
          <w:tcPr/>
          <w:p>
            <w:pPr>
              <w:pStyle w:val="Compact"/>
              <w:jc w:val="left"/>
            </w:pPr>
            <w:r>
              <w:t xml:space="preserve">Varied constant</w:t>
            </w:r>
          </w:p>
        </w:tc>
        <w:tc>
          <w:tcPr/>
          <w:p>
            <w:pPr>
              <w:pStyle w:val="Compact"/>
              <w:jc w:val="center"/>
            </w:pPr>
            <w:r>
              <w:t xml:space="preserve">Range tested</w:t>
            </w:r>
          </w:p>
        </w:tc>
        <w:tc>
          <w:tcPr/>
          <w:p>
            <w:pPr>
              <w:pStyle w:val="Compact"/>
              <w:jc w:val="center"/>
            </w:pPr>
            <w:r>
              <w:t xml:space="preserve">Mean ARI</w:t>
            </w:r>
          </w:p>
        </w:tc>
      </w:tr>
      <w:tr>
        <w:tc>
          <w:tcPr/>
          <w:p>
            <w:pPr>
              <w:pStyle w:val="Compact"/>
              <w:jc w:val="left"/>
            </w:pPr>
            <w:r>
              <w:t xml:space="preserve">rho floor</w:t>
            </w:r>
          </w:p>
        </w:tc>
        <w:tc>
          <w:tcPr/>
          <w:p>
            <w:pPr>
              <w:pStyle w:val="Compact"/>
              <w:jc w:val="center"/>
            </w:pPr>
            <w:r>
              <w:t xml:space="preserve">2–6</w:t>
            </w:r>
          </w:p>
        </w:tc>
        <w:tc>
          <w:tcPr/>
          <w:p>
            <w:pPr>
              <w:pStyle w:val="Compact"/>
              <w:jc w:val="center"/>
            </w:pPr>
            <w:r>
              <w:t xml:space="preserve">0.617–0.624</w:t>
            </w:r>
          </w:p>
        </w:tc>
      </w:tr>
      <w:tr>
        <w:tc>
          <w:tcPr/>
          <w:p>
            <w:pPr>
              <w:pStyle w:val="Compact"/>
              <w:jc w:val="left"/>
            </w:pPr>
            <w:r>
              <w:t xml:space="preserve">scaling</w:t>
            </w:r>
            <w:r>
              <w:t xml:space="preserve"> </w:t>
            </w:r>
            <m:oMath>
              <m:r>
                <m:t>c</m:t>
              </m:r>
            </m:oMath>
          </w:p>
        </w:tc>
        <w:tc>
          <w:tcPr/>
          <w:p>
            <w:pPr>
              <w:pStyle w:val="Compact"/>
              <w:jc w:val="center"/>
            </w:pPr>
            <w:r>
              <w:t xml:space="preserve">25–150</w:t>
            </w:r>
          </w:p>
        </w:tc>
        <w:tc>
          <w:tcPr/>
          <w:p>
            <w:pPr>
              <w:pStyle w:val="Compact"/>
              <w:jc w:val="center"/>
            </w:pPr>
            <w:r>
              <w:t xml:space="preserve">0.624–0.624</w:t>
            </w:r>
          </w:p>
        </w:tc>
      </w:tr>
      <w:tr>
        <w:tc>
          <w:tcPr/>
          <w:p>
            <w:pPr>
              <w:pStyle w:val="Compact"/>
              <w:jc w:val="left"/>
            </w:pPr>
            <w:r>
              <w:t xml:space="preserve">score weights</w:t>
            </w:r>
          </w:p>
        </w:tc>
        <w:tc>
          <w:tcPr/>
          <w:p>
            <w:pPr>
              <w:pStyle w:val="Compact"/>
              <w:jc w:val="center"/>
            </w:pPr>
            <w:r>
              <w:t xml:space="preserve">full simplex</w:t>
            </w:r>
          </w:p>
        </w:tc>
        <w:tc>
          <w:tcPr/>
          <w:p>
            <w:pPr>
              <w:pStyle w:val="Compact"/>
              <w:jc w:val="center"/>
            </w:pPr>
            <w:r>
              <w:t xml:space="preserve">0.571–0.627</w:t>
            </w:r>
          </w:p>
        </w:tc>
      </w:tr>
      <w:tr>
        <w:tc>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p>
            <w:pPr>
              <w:pStyle w:val="Compact"/>
              <w:jc w:val="center"/>
            </w:pPr>
            <w:r>
              <w:t xml:space="preserve">—</w:t>
            </w:r>
          </w:p>
        </w:tc>
        <w:tc>
          <w:tcPr/>
          <w:p>
            <w:pPr>
              <w:pStyle w:val="Compact"/>
              <w:jc w:val="center"/>
            </w:pPr>
            <w:r>
              <w:rPr>
                <w:b/>
                <w:bCs/>
              </w:rPr>
              <w:t xml:space="preserve">0.624</w:t>
            </w:r>
          </w:p>
        </w:tc>
      </w:tr>
    </w:tbl>
    <w:bookmarkEnd w:id="47"/>
    <w:p>
      <w:pPr>
        <w:pStyle w:val="BodyText"/>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[32].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[33].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pPr>
      <w:r>
        <w:t xml:space="preserve">Algorithms</w:t>
      </w:r>
    </w:p>
    <w:p>
      <w:pPr>
        <w:pStyle w:val="FirstParagrap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pPr>
      <w:r>
        <w:t xml:space="preserve">Experimental Evaluation</w:t>
      </w:r>
    </w:p>
    <w:bookmarkStart w:id="52" w:name="datasets"/>
    <w:p>
      <w:pPr>
        <w:pStyle w:val="Heading2"/>
      </w:pPr>
      <w:r>
        <w:t xml:space="preserve">Datasets</w:t>
      </w:r>
    </w:p>
    <w:p>
      <w:pPr>
        <w:pStyle w:val="FirstParagrap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pPr>
      <w:r>
        <w:t xml:space="preserve">Benchmark datasets.</w:t>
      </w:r>
    </w:p>
    <w:tbl>
      <w:tblPr>
        <w:tblStyle w:val="Table"/>
        <w:tblW w:type="auto" w:w="0"/>
        <w:tblLook w:firstRow="1" w:lastRow="0" w:firstColumn="0" w:lastColumn="0" w:noHBand="0" w:noVBand="0" w:val="0020"/>
        <w:tblCaption w:val="Benchmark datasets."/>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right"/>
            </w:pPr>
            <m:oMath>
              <m:r>
                <m:t>n</m:t>
              </m:r>
            </m:oMath>
          </w:p>
        </w:tc>
        <w:tc>
          <w:tcPr/>
          <w:p>
            <w:pPr>
              <w:pStyle w:val="Compact"/>
              <w:jc w:val="right"/>
            </w:pPr>
            <m:oMath>
              <m:r>
                <m:t>d</m:t>
              </m:r>
            </m:oMath>
          </w:p>
        </w:tc>
        <w:tc>
          <w:tcPr/>
          <w:p>
            <w:pPr>
              <w:pStyle w:val="Compact"/>
              <w:jc w:val="right"/>
            </w:pPr>
            <m:oMath>
              <m:sSub>
                <m:e>
                  <m:r>
                    <m:t>C</m:t>
                  </m:r>
                </m:e>
                <m:sub>
                  <m:r>
                    <m:rPr>
                      <m:nor/>
                      <m:sty m:val="p"/>
                    </m:rPr>
                    <m:t>true</m:t>
                  </m:r>
                </m:sub>
              </m:sSub>
            </m:oMath>
          </w:p>
        </w:tc>
        <w:tc>
          <w:tcPr/>
          <w:p>
            <w:pPr>
              <w:pStyle w:val="Compact"/>
              <w:jc w:val="left"/>
            </w:pPr>
            <w:r>
              <w:t xml:space="preserve">Domain</w:t>
            </w:r>
          </w:p>
        </w:tc>
      </w:tr>
      <w:tr>
        <w:tc>
          <w:tcPr/>
          <w:p>
            <w:pPr>
              <w:pStyle w:val="Compact"/>
              <w:jc w:val="left"/>
            </w:pPr>
            <w:r>
              <w:t xml:space="preserve">Wine</w:t>
            </w:r>
          </w:p>
        </w:tc>
        <w:tc>
          <w:tcPr/>
          <w:p>
            <w:pPr>
              <w:pStyle w:val="Compact"/>
              <w:jc w:val="right"/>
            </w:pPr>
            <w:r>
              <w:t xml:space="preserve">178</w:t>
            </w:r>
          </w:p>
        </w:tc>
        <w:tc>
          <w:tcPr/>
          <w:p>
            <w:pPr>
              <w:pStyle w:val="Compact"/>
              <w:jc w:val="right"/>
            </w:pPr>
            <w:r>
              <w:t xml:space="preserve">13</w:t>
            </w:r>
          </w:p>
        </w:tc>
        <w:tc>
          <w:tcPr/>
          <w:p>
            <w:pPr>
              <w:pStyle w:val="Compact"/>
              <w:jc w:val="right"/>
            </w:pPr>
            <w:r>
              <w:t xml:space="preserve">3</w:t>
            </w:r>
          </w:p>
        </w:tc>
        <w:tc>
          <w:tcPr/>
          <w:p>
            <w:pPr>
              <w:pStyle w:val="Compact"/>
              <w:jc w:val="left"/>
            </w:pPr>
            <w:r>
              <w:t xml:space="preserve">Chemistry</w:t>
            </w:r>
          </w:p>
        </w:tc>
      </w:tr>
      <w:tr>
        <w:tc>
          <w:tcPr/>
          <w:p>
            <w:pPr>
              <w:pStyle w:val="Compact"/>
              <w:jc w:val="left"/>
            </w:pPr>
            <w:r>
              <w:t xml:space="preserve">Glass</w:t>
            </w:r>
          </w:p>
        </w:tc>
        <w:tc>
          <w:tcPr/>
          <w:p>
            <w:pPr>
              <w:pStyle w:val="Compact"/>
              <w:jc w:val="right"/>
            </w:pPr>
            <w:r>
              <w:t xml:space="preserve">214</w:t>
            </w:r>
          </w:p>
        </w:tc>
        <w:tc>
          <w:tcPr/>
          <w:p>
            <w:pPr>
              <w:pStyle w:val="Compact"/>
              <w:jc w:val="right"/>
            </w:pPr>
            <w:r>
              <w:t xml:space="preserve">9</w:t>
            </w:r>
          </w:p>
        </w:tc>
        <w:tc>
          <w:tcPr/>
          <w:p>
            <w:pPr>
              <w:pStyle w:val="Compact"/>
              <w:jc w:val="right"/>
            </w:pPr>
            <w:r>
              <w:t xml:space="preserve">6</w:t>
            </w:r>
          </w:p>
        </w:tc>
        <w:tc>
          <w:tcPr/>
          <w:p>
            <w:pPr>
              <w:pStyle w:val="Compact"/>
              <w:jc w:val="left"/>
            </w:pPr>
            <w:r>
              <w:t xml:space="preserve">Material</w:t>
            </w:r>
          </w:p>
        </w:tc>
      </w:tr>
      <w:tr>
        <w:tc>
          <w:tcPr/>
          <w:p>
            <w:pPr>
              <w:pStyle w:val="Compact"/>
              <w:jc w:val="left"/>
            </w:pPr>
            <w:r>
              <w:t xml:space="preserve">Olivetti</w:t>
            </w:r>
          </w:p>
        </w:tc>
        <w:tc>
          <w:tcPr/>
          <w:p>
            <w:pPr>
              <w:pStyle w:val="Compact"/>
              <w:jc w:val="right"/>
            </w:pPr>
            <w:r>
              <w:t xml:space="preserve">400</w:t>
            </w:r>
          </w:p>
        </w:tc>
        <w:tc>
          <w:tcPr/>
          <w:p>
            <w:pPr>
              <w:pStyle w:val="Compact"/>
              <w:jc w:val="right"/>
            </w:pPr>
            <w:r>
              <w:t xml:space="preserve">4096</w:t>
            </w:r>
          </w:p>
        </w:tc>
        <w:tc>
          <w:tcPr/>
          <w:p>
            <w:pPr>
              <w:pStyle w:val="Compact"/>
              <w:jc w:val="right"/>
            </w:pPr>
            <w:r>
              <w:t xml:space="preserve">40</w:t>
            </w:r>
          </w:p>
        </w:tc>
        <w:tc>
          <w:tcPr/>
          <w:p>
            <w:pPr>
              <w:pStyle w:val="Compact"/>
              <w:jc w:val="left"/>
            </w:pPr>
            <w:r>
              <w:t xml:space="preserve">Faces</w:t>
            </w:r>
          </w:p>
        </w:tc>
      </w:tr>
      <w:tr>
        <w:tc>
          <w:tcPr/>
          <w:p>
            <w:pPr>
              <w:pStyle w:val="Compact"/>
              <w:jc w:val="left"/>
            </w:pPr>
            <w:r>
              <w:t xml:space="preserve">CNAE-9</w:t>
            </w:r>
          </w:p>
        </w:tc>
        <w:tc>
          <w:tcPr/>
          <w:p>
            <w:pPr>
              <w:pStyle w:val="Compact"/>
              <w:jc w:val="right"/>
            </w:pPr>
            <w:r>
              <w:t xml:space="preserve">1080</w:t>
            </w:r>
          </w:p>
        </w:tc>
        <w:tc>
          <w:tcPr/>
          <w:p>
            <w:pPr>
              <w:pStyle w:val="Compact"/>
              <w:jc w:val="right"/>
            </w:pPr>
            <w:r>
              <w:t xml:space="preserve">856</w:t>
            </w:r>
          </w:p>
        </w:tc>
        <w:tc>
          <w:tcPr/>
          <w:p>
            <w:pPr>
              <w:pStyle w:val="Compact"/>
              <w:jc w:val="right"/>
            </w:pPr>
            <w:r>
              <w:t xml:space="preserve">9</w:t>
            </w:r>
          </w:p>
        </w:tc>
        <w:tc>
          <w:tcPr/>
          <w:p>
            <w:pPr>
              <w:pStyle w:val="Compact"/>
              <w:jc w:val="left"/>
            </w:pPr>
            <w:r>
              <w:t xml:space="preserve">Text</w:t>
            </w:r>
          </w:p>
        </w:tc>
      </w:tr>
      <w:tr>
        <w:tc>
          <w:tcPr/>
          <w:p>
            <w:pPr>
              <w:pStyle w:val="Compact"/>
              <w:jc w:val="left"/>
            </w:pPr>
            <w:r>
              <w:t xml:space="preserve">COIL-20</w:t>
            </w:r>
          </w:p>
        </w:tc>
        <w:tc>
          <w:tcPr/>
          <w:p>
            <w:pPr>
              <w:pStyle w:val="Compact"/>
              <w:jc w:val="right"/>
            </w:pPr>
            <w:r>
              <w:t xml:space="preserve">1440</w:t>
            </w:r>
          </w:p>
        </w:tc>
        <w:tc>
          <w:tcPr/>
          <w:p>
            <w:pPr>
              <w:pStyle w:val="Compact"/>
              <w:jc w:val="right"/>
            </w:pPr>
            <w:r>
              <w:t xml:space="preserve">1024</w:t>
            </w:r>
          </w:p>
        </w:tc>
        <w:tc>
          <w:tcPr/>
          <w:p>
            <w:pPr>
              <w:pStyle w:val="Compact"/>
              <w:jc w:val="right"/>
            </w:pPr>
            <w:r>
              <w:t xml:space="preserve">20</w:t>
            </w:r>
          </w:p>
        </w:tc>
        <w:tc>
          <w:tcPr/>
          <w:p>
            <w:pPr>
              <w:pStyle w:val="Compact"/>
              <w:jc w:val="left"/>
            </w:pPr>
            <w:r>
              <w:t xml:space="preserve">Images</w:t>
            </w:r>
          </w:p>
        </w:tc>
      </w:tr>
      <w:tr>
        <w:tc>
          <w:tcPr/>
          <w:p>
            <w:pPr>
              <w:pStyle w:val="Compact"/>
              <w:jc w:val="left"/>
            </w:pPr>
            <w:r>
              <w:t xml:space="preserve">Optdigits</w:t>
            </w:r>
          </w:p>
        </w:tc>
        <w:tc>
          <w:tcPr/>
          <w:p>
            <w:pPr>
              <w:pStyle w:val="Compact"/>
              <w:jc w:val="right"/>
            </w:pPr>
            <w:r>
              <w:t xml:space="preserve">1797</w:t>
            </w:r>
          </w:p>
        </w:tc>
        <w:tc>
          <w:tcPr/>
          <w:p>
            <w:pPr>
              <w:pStyle w:val="Compact"/>
              <w:jc w:val="right"/>
            </w:pPr>
            <w:r>
              <w:t xml:space="preserve">64</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MFeat</w:t>
            </w:r>
          </w:p>
        </w:tc>
        <w:tc>
          <w:tcPr/>
          <w:p>
            <w:pPr>
              <w:pStyle w:val="Compact"/>
              <w:jc w:val="right"/>
            </w:pPr>
            <w:r>
              <w:t xml:space="preserve">2000</w:t>
            </w:r>
          </w:p>
        </w:tc>
        <w:tc>
          <w:tcPr/>
          <w:p>
            <w:pPr>
              <w:pStyle w:val="Compact"/>
              <w:jc w:val="right"/>
            </w:pPr>
            <w:r>
              <w:t xml:space="preserve">649</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Segmentation</w:t>
            </w:r>
          </w:p>
        </w:tc>
        <w:tc>
          <w:tcPr/>
          <w:p>
            <w:pPr>
              <w:pStyle w:val="Compact"/>
              <w:jc w:val="right"/>
            </w:pPr>
            <w:r>
              <w:t xml:space="preserve">2310</w:t>
            </w:r>
          </w:p>
        </w:tc>
        <w:tc>
          <w:tcPr/>
          <w:p>
            <w:pPr>
              <w:pStyle w:val="Compact"/>
              <w:jc w:val="right"/>
            </w:pPr>
            <w:r>
              <w:t xml:space="preserve">19</w:t>
            </w:r>
          </w:p>
        </w:tc>
        <w:tc>
          <w:tcPr/>
          <w:p>
            <w:pPr>
              <w:pStyle w:val="Compact"/>
              <w:jc w:val="right"/>
            </w:pPr>
            <w:r>
              <w:t xml:space="preserve">7</w:t>
            </w:r>
          </w:p>
        </w:tc>
        <w:tc>
          <w:tcPr/>
          <w:p>
            <w:pPr>
              <w:pStyle w:val="Compact"/>
              <w:jc w:val="left"/>
            </w:pPr>
            <w:r>
              <w:t xml:space="preserve">Images</w:t>
            </w:r>
          </w:p>
        </w:tc>
      </w:tr>
      <w:tr>
        <w:tc>
          <w:tcPr/>
          <w:p>
            <w:pPr>
              <w:pStyle w:val="Compact"/>
              <w:jc w:val="left"/>
            </w:pPr>
            <w:r>
              <w:t xml:space="preserve">ISOLET</w:t>
            </w:r>
          </w:p>
        </w:tc>
        <w:tc>
          <w:tcPr/>
          <w:p>
            <w:pPr>
              <w:pStyle w:val="Compact"/>
              <w:jc w:val="right"/>
            </w:pPr>
            <w:r>
              <w:t xml:space="preserve">6006</w:t>
            </w:r>
          </w:p>
        </w:tc>
        <w:tc>
          <w:tcPr/>
          <w:p>
            <w:pPr>
              <w:pStyle w:val="Compact"/>
              <w:jc w:val="right"/>
            </w:pPr>
            <w:r>
              <w:t xml:space="preserve">617</w:t>
            </w:r>
          </w:p>
        </w:tc>
        <w:tc>
          <w:tcPr/>
          <w:p>
            <w:pPr>
              <w:pStyle w:val="Compact"/>
              <w:jc w:val="right"/>
            </w:pPr>
            <w:r>
              <w:t xml:space="preserve">26</w:t>
            </w:r>
          </w:p>
        </w:tc>
        <w:tc>
          <w:tcPr/>
          <w:p>
            <w:pPr>
              <w:pStyle w:val="Compact"/>
              <w:jc w:val="left"/>
            </w:pPr>
            <w:r>
              <w:t xml:space="preserve">Speech</w:t>
            </w:r>
          </w:p>
        </w:tc>
      </w:tr>
      <w:tr>
        <w:tc>
          <w:tcPr/>
          <w:p>
            <w:pPr>
              <w:pStyle w:val="Compact"/>
              <w:jc w:val="left"/>
            </w:pPr>
            <w:r>
              <w:t xml:space="preserve">Satimage</w:t>
            </w:r>
          </w:p>
        </w:tc>
        <w:tc>
          <w:tcPr/>
          <w:p>
            <w:pPr>
              <w:pStyle w:val="Compact"/>
              <w:jc w:val="right"/>
            </w:pPr>
            <w:r>
              <w:t xml:space="preserve">6430</w:t>
            </w:r>
          </w:p>
        </w:tc>
        <w:tc>
          <w:tcPr/>
          <w:p>
            <w:pPr>
              <w:pStyle w:val="Compact"/>
              <w:jc w:val="right"/>
            </w:pPr>
            <w:r>
              <w:t xml:space="preserve">36</w:t>
            </w:r>
          </w:p>
        </w:tc>
        <w:tc>
          <w:tcPr/>
          <w:p>
            <w:pPr>
              <w:pStyle w:val="Compact"/>
              <w:jc w:val="right"/>
            </w:pPr>
            <w:r>
              <w:t xml:space="preserve">6</w:t>
            </w:r>
          </w:p>
        </w:tc>
        <w:tc>
          <w:tcPr/>
          <w:p>
            <w:pPr>
              <w:pStyle w:val="Compact"/>
              <w:jc w:val="left"/>
            </w:pPr>
            <w:r>
              <w:t xml:space="preserve">Remote Sensing</w:t>
            </w:r>
          </w:p>
        </w:tc>
      </w:tr>
      <w:tr>
        <w:tc>
          <w:tcPr/>
          <w:p>
            <w:pPr>
              <w:pStyle w:val="Compact"/>
              <w:jc w:val="left"/>
            </w:pPr>
            <w:r>
              <w:t xml:space="preserve">USPS</w:t>
            </w:r>
          </w:p>
        </w:tc>
        <w:tc>
          <w:tcPr/>
          <w:p>
            <w:pPr>
              <w:pStyle w:val="Compact"/>
              <w:jc w:val="right"/>
            </w:pPr>
            <w:r>
              <w:t xml:space="preserve">9298</w:t>
            </w:r>
          </w:p>
        </w:tc>
        <w:tc>
          <w:tcPr/>
          <w:p>
            <w:pPr>
              <w:pStyle w:val="Compact"/>
              <w:jc w:val="right"/>
            </w:pPr>
            <w:r>
              <w:t xml:space="preserve">256</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PenDigits</w:t>
            </w:r>
          </w:p>
        </w:tc>
        <w:tc>
          <w:tcPr/>
          <w:p>
            <w:pPr>
              <w:pStyle w:val="Compact"/>
              <w:jc w:val="right"/>
            </w:pPr>
            <w:r>
              <w:t xml:space="preserve">10992</w:t>
            </w:r>
          </w:p>
        </w:tc>
        <w:tc>
          <w:tcPr/>
          <w:p>
            <w:pPr>
              <w:pStyle w:val="Compact"/>
              <w:jc w:val="right"/>
            </w:pPr>
            <w:r>
              <w:t xml:space="preserve">16</w:t>
            </w:r>
          </w:p>
        </w:tc>
        <w:tc>
          <w:tcPr/>
          <w:p>
            <w:pPr>
              <w:pStyle w:val="Compact"/>
              <w:jc w:val="right"/>
            </w:pPr>
            <w:r>
              <w:t xml:space="preserve">10</w:t>
            </w:r>
          </w:p>
        </w:tc>
        <w:tc>
          <w:tcPr/>
          <w:p>
            <w:pPr>
              <w:pStyle w:val="Compact"/>
              <w:jc w:val="left"/>
            </w:pPr>
            <w:r>
              <w:t xml:space="preserve">Handwriting</w:t>
            </w:r>
          </w:p>
        </w:tc>
      </w:tr>
    </w:tbl>
    <w:bookmarkEnd w:id="51"/>
    <w:bookmarkEnd w:id="52"/>
    <w:bookmarkStart w:id="53" w:name="evaluation-protocol"/>
    <w:p>
      <w:pPr>
        <w:pStyle w:val="Heading2"/>
      </w:pPr>
      <w:r>
        <w:t xml:space="preserve">Evaluation Protocol</w:t>
      </w:r>
    </w:p>
    <w:p>
      <w:pPr>
        <w:pStyle w:val="FirstParagraph"/>
      </w:pPr>
      <w:r>
        <w:t xml:space="preserve">Three external validity indices are reported: Adjusted Rand Index (ARI) [21], Normalized Mutual Information (NMI) [18], and Clustering Accuracy (ACC) [22].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20</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pPr>
      <w:r>
        <w:t xml:space="preserve">Main Results</w:t>
      </w:r>
    </w:p>
    <w:p>
      <w:pPr>
        <w:pStyle w:val="FirstParagrap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pPr>
      <w:r>
        <w:t xml:space="preserve">Main results: mean ARI over 5 seeds (1001–1005), full data.</w:t>
      </w:r>
      <w:r>
        <w:t xml:space="preserve"> </w:t>
      </w:r>
      <w:r>
        <w:rPr>
          <w:b/>
          <w:bCs/>
        </w:rPr>
        <w:t xml:space="preserve">DEAC</w:t>
      </w:r>
      <w:r>
        <w:t xml:space="preserve"> </w:t>
      </w:r>
      <w:r>
        <w:t xml:space="preserve">is the</w:t>
      </w:r>
      <w:r>
        <w:t xml:space="preserve"> </w:t>
      </w:r>
      <w:r>
        <w:rPr>
          <w:i/>
          <w:iCs/>
        </w:rPr>
        <w:t xml:space="preserve">deployable</w:t>
      </w:r>
      <w:r>
        <w:t xml:space="preserve"> </w:t>
      </w:r>
      <w:r>
        <w:t xml:space="preserve">label-free QualityGate;</w:t>
      </w:r>
      <w:r>
        <w:t xml:space="preserve"> </w:t>
      </w:r>
      <w:r>
        <w:rPr>
          <w:i/>
          <w:iCs/>
        </w:rPr>
        <w:t xml:space="preserve">Oracle</w:t>
      </w:r>
      <w:r>
        <w:t xml:space="preserve"> </w:t>
      </w:r>
      <w:r>
        <w:t xml:space="preserve">is the label-selected best engine per dataset (a diagnostic upper bound, not a deployable result). Bold = best</w:t>
      </w:r>
      <w:r>
        <w:t xml:space="preserve"> </w:t>
      </w:r>
      <w:r>
        <w:rPr>
          <w:i/>
          <w:iCs/>
        </w:rPr>
        <w:t xml:space="preserve">deployable</w:t>
      </w:r>
      <w:r>
        <w:t xml:space="preserve"> </w:t>
      </w:r>
      <w:r>
        <w:t xml:space="preserve">value per row.</w:t>
      </w:r>
    </w:p>
    <w:tbl>
      <w:tblPr>
        <w:tblStyle w:val="Table"/>
        <w:tblW w:type="auto" w:w="0"/>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c>
          <w:tcPr/>
          <w:p>
            <w:pPr>
              <w:pStyle w:val="Compact"/>
              <w:jc w:val="center"/>
            </w:pPr>
            <w:r>
              <w:rPr>
                <w:i/>
                <w:iCs/>
              </w:rPr>
              <w:t xml:space="preserve">Oracle</w:t>
            </w:r>
          </w:p>
        </w:tc>
      </w:tr>
      <w:tr>
        <w:tc>
          <w:tcPr/>
          <w:p>
            <w:pPr>
              <w:pStyle w:val="Compact"/>
              <w:jc w:val="left"/>
            </w:pPr>
            <w:r>
              <w:t xml:space="preserve">Wine</w:t>
            </w:r>
          </w:p>
        </w:tc>
        <w:tc>
          <w:tcPr/>
          <w:p>
            <w:pPr>
              <w:pStyle w:val="Compact"/>
              <w:jc w:val="center"/>
            </w:pPr>
            <m:oMath>
              <m:r>
                <m:rPr>
                  <m:sty m:val="b"/>
                </m:rPr>
                <m:t>0.802</m:t>
              </m:r>
            </m:oMath>
          </w:p>
        </w:tc>
        <w:tc>
          <w:tcPr/>
          <w:p>
            <w:pPr>
              <w:pStyle w:val="Compact"/>
              <w:jc w:val="center"/>
            </w:pPr>
            <w:r>
              <w:t xml:space="preserve">0.774</w:t>
            </w:r>
          </w:p>
        </w:tc>
        <w:tc>
          <w:tcPr/>
          <w:p>
            <w:pPr>
              <w:pStyle w:val="Compact"/>
              <w:jc w:val="center"/>
            </w:pPr>
            <w:r>
              <w:t xml:space="preserve">0.797</w:t>
            </w:r>
          </w:p>
        </w:tc>
        <w:tc>
          <w:tcPr/>
          <w:p>
            <w:pPr>
              <w:pStyle w:val="Compact"/>
              <w:jc w:val="center"/>
            </w:pPr>
            <w:r>
              <w:t xml:space="preserve">0.791</w:t>
            </w:r>
          </w:p>
        </w:tc>
        <w:tc>
          <w:tcPr/>
          <w:p>
            <w:pPr>
              <w:pStyle w:val="Compact"/>
              <w:jc w:val="center"/>
            </w:pPr>
            <w:r>
              <w:rPr>
                <w:i/>
                <w:iCs/>
              </w:rPr>
              <w:t xml:space="preserve">0.802</w:t>
            </w:r>
          </w:p>
        </w:tc>
      </w:tr>
      <w:tr>
        <w:tc>
          <w:tcPr/>
          <w:p>
            <w:pPr>
              <w:pStyle w:val="Compact"/>
              <w:jc w:val="left"/>
            </w:pPr>
            <w:r>
              <w:t xml:space="preserve">Glass</w:t>
            </w:r>
          </w:p>
        </w:tc>
        <w:tc>
          <w:tcPr/>
          <w:p>
            <w:pPr>
              <w:pStyle w:val="Compact"/>
              <w:jc w:val="center"/>
            </w:pPr>
            <w:r>
              <w:t xml:space="preserve">0.123</w:t>
            </w:r>
          </w:p>
        </w:tc>
        <w:tc>
          <w:tcPr/>
          <w:p>
            <w:pPr>
              <w:pStyle w:val="Compact"/>
              <w:jc w:val="center"/>
            </w:pPr>
            <w:r>
              <w:t xml:space="preserve">0.165</w:t>
            </w:r>
          </w:p>
        </w:tc>
        <w:tc>
          <w:tcPr/>
          <w:p>
            <w:pPr>
              <w:pStyle w:val="Compact"/>
              <w:jc w:val="center"/>
            </w:pPr>
            <w:r>
              <w:t xml:space="preserve">0.165</w:t>
            </w:r>
          </w:p>
        </w:tc>
        <w:tc>
          <w:tcPr/>
          <w:p>
            <w:pPr>
              <w:pStyle w:val="Compact"/>
              <w:jc w:val="center"/>
            </w:pPr>
            <m:oMath>
              <m:r>
                <m:rPr>
                  <m:sty m:val="b"/>
                </m:rPr>
                <m:t>0.169</m:t>
              </m:r>
            </m:oMath>
          </w:p>
        </w:tc>
        <w:tc>
          <w:tcPr/>
          <w:p>
            <w:pPr>
              <w:pStyle w:val="Compact"/>
              <w:jc w:val="center"/>
            </w:pPr>
            <w:r>
              <w:rPr>
                <w:i/>
                <w:iCs/>
              </w:rPr>
              <w:t xml:space="preserve">0.172</w:t>
            </w:r>
          </w:p>
        </w:tc>
      </w:tr>
      <w:tr>
        <w:tc>
          <w:tcPr/>
          <w:p>
            <w:pPr>
              <w:pStyle w:val="Compact"/>
              <w:jc w:val="left"/>
            </w:pPr>
            <w:r>
              <w:t xml:space="preserve">Olivetti</w:t>
            </w:r>
          </w:p>
        </w:tc>
        <w:tc>
          <w:tcPr/>
          <w:p>
            <w:pPr>
              <w:pStyle w:val="Compact"/>
              <w:jc w:val="center"/>
            </w:pPr>
            <w:r>
              <w:t xml:space="preserve">0.063</w:t>
            </w:r>
          </w:p>
        </w:tc>
        <w:tc>
          <w:tcPr/>
          <w:p>
            <w:pPr>
              <w:pStyle w:val="Compact"/>
              <w:jc w:val="center"/>
            </w:pPr>
            <w:r>
              <w:t xml:space="preserve">0.237</w:t>
            </w:r>
          </w:p>
        </w:tc>
        <w:tc>
          <w:tcPr/>
          <w:p>
            <w:pPr>
              <w:pStyle w:val="Compact"/>
              <w:jc w:val="center"/>
            </w:pPr>
            <m:oMath>
              <m:r>
                <m:rPr>
                  <m:sty m:val="b"/>
                </m:rPr>
                <m:t>0.337</m:t>
              </m:r>
            </m:oMath>
          </w:p>
        </w:tc>
        <w:tc>
          <w:tcPr/>
          <w:p>
            <w:pPr>
              <w:pStyle w:val="Compact"/>
              <w:jc w:val="center"/>
            </w:pPr>
            <w:r>
              <w:t xml:space="preserve">0.237</w:t>
            </w:r>
          </w:p>
        </w:tc>
        <w:tc>
          <w:tcPr/>
          <w:p>
            <w:pPr>
              <w:pStyle w:val="Compact"/>
              <w:jc w:val="center"/>
            </w:pPr>
            <w:r>
              <w:rPr>
                <w:i/>
                <w:iCs/>
              </w:rPr>
              <w:t xml:space="preserve">0.337</w:t>
            </w:r>
          </w:p>
        </w:tc>
      </w:tr>
      <w:tr>
        <w:tc>
          <w:tcPr/>
          <w:p>
            <w:pPr>
              <w:pStyle w:val="Compact"/>
              <w:jc w:val="left"/>
            </w:pPr>
            <w:r>
              <w:t xml:space="preserve">CNAE-9</w:t>
            </w:r>
          </w:p>
        </w:tc>
        <w:tc>
          <w:tcPr/>
          <w:p>
            <w:pPr>
              <w:pStyle w:val="Compact"/>
              <w:jc w:val="center"/>
            </w:pPr>
            <w:r>
              <w:t xml:space="preserve">0.593</w:t>
            </w:r>
          </w:p>
        </w:tc>
        <w:tc>
          <w:tcPr/>
          <w:p>
            <w:pPr>
              <w:pStyle w:val="Compact"/>
              <w:jc w:val="center"/>
            </w:pPr>
            <w:r>
              <w:t xml:space="preserve">0.584</w:t>
            </w:r>
          </w:p>
        </w:tc>
        <w:tc>
          <w:tcPr/>
          <w:p>
            <w:pPr>
              <w:pStyle w:val="Compact"/>
              <w:jc w:val="center"/>
            </w:pPr>
            <w:r>
              <w:t xml:space="preserve">0.638</w:t>
            </w:r>
          </w:p>
        </w:tc>
        <w:tc>
          <w:tcPr/>
          <w:p>
            <w:pPr>
              <w:pStyle w:val="Compact"/>
              <w:jc w:val="center"/>
            </w:pPr>
            <m:oMath>
              <m:r>
                <m:rPr>
                  <m:sty m:val="b"/>
                </m:rPr>
                <m:t>0.642</m:t>
              </m:r>
            </m:oMath>
          </w:p>
        </w:tc>
        <w:tc>
          <w:tcPr/>
          <w:p>
            <w:pPr>
              <w:pStyle w:val="Compact"/>
              <w:jc w:val="center"/>
            </w:pPr>
            <w:r>
              <w:rPr>
                <w:i/>
                <w:iCs/>
              </w:rPr>
              <w:t xml:space="preserve">0.642</w:t>
            </w:r>
          </w:p>
        </w:tc>
      </w:tr>
      <w:tr>
        <w:tc>
          <w:tcPr/>
          <w:p>
            <w:pPr>
              <w:pStyle w:val="Compact"/>
              <w:jc w:val="left"/>
            </w:pPr>
            <w:r>
              <w:t xml:space="preserve">COIL-20</w:t>
            </w:r>
          </w:p>
        </w:tc>
        <w:tc>
          <w:tcPr/>
          <w:p>
            <w:pPr>
              <w:pStyle w:val="Compact"/>
              <w:jc w:val="center"/>
            </w:pPr>
            <w:r>
              <w:t xml:space="preserve">0.631</w:t>
            </w:r>
          </w:p>
        </w:tc>
        <w:tc>
          <w:tcPr/>
          <w:p>
            <w:pPr>
              <w:pStyle w:val="Compact"/>
              <w:jc w:val="center"/>
            </w:pPr>
            <m:oMath>
              <m:r>
                <m:rPr>
                  <m:sty m:val="b"/>
                </m:rPr>
                <m:t>0.788</m:t>
              </m:r>
            </m:oMath>
          </w:p>
        </w:tc>
        <w:tc>
          <w:tcPr/>
          <w:p>
            <w:pPr>
              <w:pStyle w:val="Compact"/>
              <w:jc w:val="center"/>
            </w:pPr>
            <w:r>
              <w:t xml:space="preserve">0.754</w:t>
            </w:r>
          </w:p>
        </w:tc>
        <w:tc>
          <w:tcPr/>
          <w:p>
            <w:pPr>
              <w:pStyle w:val="Compact"/>
              <w:jc w:val="center"/>
            </w:pPr>
            <w:r>
              <w:t xml:space="preserve">0.754</w:t>
            </w:r>
          </w:p>
        </w:tc>
        <w:tc>
          <w:tcPr/>
          <w:p>
            <w:pPr>
              <w:pStyle w:val="Compact"/>
              <w:jc w:val="center"/>
            </w:pPr>
            <w:r>
              <w:rPr>
                <w:i/>
                <w:iCs/>
              </w:rPr>
              <w:t xml:space="preserve">0.789</w:t>
            </w:r>
          </w:p>
        </w:tc>
      </w:tr>
      <w:tr>
        <w:tc>
          <w:tcPr/>
          <w:p>
            <w:pPr>
              <w:pStyle w:val="Compact"/>
              <w:jc w:val="left"/>
            </w:pPr>
            <w:r>
              <w:t xml:space="preserve">Optdigits</w:t>
            </w:r>
          </w:p>
        </w:tc>
        <w:tc>
          <w:tcPr/>
          <w:p>
            <w:pPr>
              <w:pStyle w:val="Compact"/>
              <w:jc w:val="center"/>
            </w:pPr>
            <m:oMath>
              <m:r>
                <m:rPr>
                  <m:sty m:val="b"/>
                </m:rPr>
                <m:t>0.861</m:t>
              </m:r>
            </m:oMath>
          </w:p>
        </w:tc>
        <w:tc>
          <w:tcPr/>
          <w:p>
            <w:pPr>
              <w:pStyle w:val="Compact"/>
              <w:jc w:val="center"/>
            </w:pPr>
            <w:r>
              <w:t xml:space="preserve">0.845</w:t>
            </w:r>
          </w:p>
        </w:tc>
        <w:tc>
          <w:tcPr/>
          <w:p>
            <w:pPr>
              <w:pStyle w:val="Compact"/>
              <w:jc w:val="center"/>
            </w:pPr>
            <w:r>
              <w:t xml:space="preserve">0.848</w:t>
            </w:r>
          </w:p>
        </w:tc>
        <w:tc>
          <w:tcPr/>
          <w:p>
            <w:pPr>
              <w:pStyle w:val="Compact"/>
              <w:jc w:val="center"/>
            </w:pPr>
            <w:r>
              <w:t xml:space="preserve">0.848</w:t>
            </w:r>
          </w:p>
        </w:tc>
        <w:tc>
          <w:tcPr/>
          <w:p>
            <w:pPr>
              <w:pStyle w:val="Compact"/>
              <w:jc w:val="center"/>
            </w:pPr>
            <w:r>
              <w:rPr>
                <w:i/>
                <w:iCs/>
              </w:rPr>
              <w:t xml:space="preserve">0.861</w:t>
            </w:r>
          </w:p>
        </w:tc>
      </w:tr>
      <w:tr>
        <w:tc>
          <w:tcPr/>
          <w:p>
            <w:pPr>
              <w:pStyle w:val="Compact"/>
              <w:jc w:val="left"/>
            </w:pPr>
            <w:r>
              <w:t xml:space="preserve">MFeat</w:t>
            </w:r>
          </w:p>
        </w:tc>
        <w:tc>
          <w:tcPr/>
          <w:p>
            <w:pPr>
              <w:pStyle w:val="Compact"/>
              <w:jc w:val="center"/>
            </w:pPr>
            <w:r>
              <w:t xml:space="preserve">0.926</w:t>
            </w:r>
          </w:p>
        </w:tc>
        <w:tc>
          <w:tcPr/>
          <w:p>
            <w:pPr>
              <w:pStyle w:val="Compact"/>
              <w:jc w:val="center"/>
            </w:pPr>
            <w:r>
              <w:t xml:space="preserve">0.903</w:t>
            </w:r>
          </w:p>
        </w:tc>
        <w:tc>
          <w:tcPr/>
          <w:p>
            <w:pPr>
              <w:pStyle w:val="Compact"/>
              <w:jc w:val="center"/>
            </w:pPr>
            <m:oMath>
              <m:r>
                <m:rPr>
                  <m:sty m:val="b"/>
                </m:rPr>
                <m:t>0.939</m:t>
              </m:r>
            </m:oMath>
          </w:p>
        </w:tc>
        <w:tc>
          <w:tcPr/>
          <w:p>
            <w:pPr>
              <w:pStyle w:val="Compact"/>
              <w:jc w:val="center"/>
            </w:pPr>
            <m:oMath>
              <m:r>
                <m:rPr>
                  <m:sty m:val="b"/>
                </m:rPr>
                <m:t>0.939</m:t>
              </m:r>
            </m:oMath>
          </w:p>
        </w:tc>
        <w:tc>
          <w:tcPr/>
          <w:p>
            <w:pPr>
              <w:pStyle w:val="Compact"/>
              <w:jc w:val="center"/>
            </w:pPr>
            <w:r>
              <w:rPr>
                <w:i/>
                <w:iCs/>
              </w:rPr>
              <w:t xml:space="preserve">0.939</w:t>
            </w:r>
          </w:p>
        </w:tc>
      </w:tr>
      <w:tr>
        <w:tc>
          <w:tcPr/>
          <w:p>
            <w:pPr>
              <w:pStyle w:val="Compact"/>
              <w:jc w:val="left"/>
            </w:pPr>
            <w:r>
              <w:t xml:space="preserve">Segment.</w:t>
            </w:r>
          </w:p>
        </w:tc>
        <w:tc>
          <w:tcPr/>
          <w:p>
            <w:pPr>
              <w:pStyle w:val="Compact"/>
              <w:jc w:val="center"/>
            </w:pPr>
            <m:oMath>
              <m:r>
                <m:rPr>
                  <m:sty m:val="b"/>
                </m:rPr>
                <m:t>0.425</m:t>
              </m:r>
            </m:oMath>
          </w:p>
        </w:tc>
        <w:tc>
          <w:tcPr/>
          <w:p>
            <w:pPr>
              <w:pStyle w:val="Compact"/>
              <w:jc w:val="center"/>
            </w:pPr>
            <w:r>
              <w:t xml:space="preserve">0.344</w:t>
            </w:r>
          </w:p>
        </w:tc>
        <w:tc>
          <w:tcPr/>
          <w:p>
            <w:pPr>
              <w:pStyle w:val="Compact"/>
              <w:jc w:val="center"/>
            </w:pPr>
            <w:r>
              <w:t xml:space="preserve">0.387</w:t>
            </w:r>
          </w:p>
        </w:tc>
        <w:tc>
          <w:tcPr/>
          <w:p>
            <w:pPr>
              <w:pStyle w:val="Compact"/>
              <w:jc w:val="center"/>
            </w:pPr>
            <w:r>
              <w:t xml:space="preserve">0.413</w:t>
            </w:r>
          </w:p>
        </w:tc>
        <w:tc>
          <w:tcPr/>
          <w:p>
            <w:pPr>
              <w:pStyle w:val="Compact"/>
              <w:jc w:val="center"/>
            </w:pPr>
            <w:r>
              <w:rPr>
                <w:i/>
                <w:iCs/>
              </w:rPr>
              <w:t xml:space="preserve">0.437</w:t>
            </w:r>
          </w:p>
        </w:tc>
      </w:tr>
      <w:tr>
        <w:tc>
          <w:tcPr/>
          <w:p>
            <w:pPr>
              <w:pStyle w:val="Compact"/>
              <w:jc w:val="left"/>
            </w:pPr>
            <w:r>
              <w:t xml:space="preserve">ISOLET</w:t>
            </w:r>
          </w:p>
        </w:tc>
        <w:tc>
          <w:tcPr/>
          <w:p>
            <w:pPr>
              <w:pStyle w:val="Compact"/>
              <w:jc w:val="center"/>
            </w:pPr>
            <w:r>
              <w:t xml:space="preserve">0.460</w:t>
            </w:r>
          </w:p>
        </w:tc>
        <w:tc>
          <w:tcPr/>
          <w:p>
            <w:pPr>
              <w:pStyle w:val="Compact"/>
              <w:jc w:val="center"/>
            </w:pPr>
            <m:oMath>
              <m:r>
                <m:rPr>
                  <m:sty m:val="b"/>
                </m:rPr>
                <m:t>0.514</m:t>
              </m:r>
            </m:oMath>
          </w:p>
        </w:tc>
        <w:tc>
          <w:tcPr/>
          <w:p>
            <w:pPr>
              <w:pStyle w:val="Compact"/>
              <w:jc w:val="center"/>
            </w:pPr>
            <w:r>
              <w:t xml:space="preserve">0.476</w:t>
            </w:r>
          </w:p>
        </w:tc>
        <w:tc>
          <w:tcPr/>
          <w:p>
            <w:pPr>
              <w:pStyle w:val="Compact"/>
              <w:jc w:val="center"/>
            </w:pPr>
            <w:r>
              <w:t xml:space="preserve">0.476</w:t>
            </w:r>
          </w:p>
        </w:tc>
        <w:tc>
          <w:tcPr/>
          <w:p>
            <w:pPr>
              <w:pStyle w:val="Compact"/>
              <w:jc w:val="center"/>
            </w:pPr>
            <w:r>
              <w:rPr>
                <w:i/>
                <w:iCs/>
              </w:rPr>
              <w:t xml:space="preserve">0.516</w:t>
            </w:r>
          </w:p>
        </w:tc>
      </w:tr>
      <w:tr>
        <w:tc>
          <w:tcPr/>
          <w:p>
            <w:pPr>
              <w:pStyle w:val="Compact"/>
              <w:jc w:val="left"/>
            </w:pPr>
            <w:r>
              <w:t xml:space="preserve">Satimage</w:t>
            </w:r>
          </w:p>
        </w:tc>
        <w:tc>
          <w:tcPr/>
          <w:p>
            <w:pPr>
              <w:pStyle w:val="Compact"/>
              <w:jc w:val="center"/>
            </w:pPr>
            <w:r>
              <w:t xml:space="preserve">0.462</w:t>
            </w:r>
          </w:p>
        </w:tc>
        <w:tc>
          <w:tcPr/>
          <w:p>
            <w:pPr>
              <w:pStyle w:val="Compact"/>
              <w:jc w:val="center"/>
            </w:pPr>
            <w:r>
              <w:t xml:space="preserve">0.318</w:t>
            </w:r>
          </w:p>
        </w:tc>
        <w:tc>
          <w:tcPr/>
          <w:p>
            <w:pPr>
              <w:pStyle w:val="Compact"/>
              <w:jc w:val="center"/>
            </w:pPr>
            <w:r>
              <w:t xml:space="preserve">0.516</w:t>
            </w:r>
          </w:p>
        </w:tc>
        <w:tc>
          <w:tcPr/>
          <w:p>
            <w:pPr>
              <w:pStyle w:val="Compact"/>
              <w:jc w:val="center"/>
            </w:pPr>
            <m:oMath>
              <m:r>
                <m:rPr>
                  <m:sty m:val="b"/>
                </m:rPr>
                <m:t>0.525</m:t>
              </m:r>
            </m:oMath>
          </w:p>
        </w:tc>
        <w:tc>
          <w:tcPr/>
          <w:p>
            <w:pPr>
              <w:pStyle w:val="Compact"/>
              <w:jc w:val="center"/>
            </w:pPr>
            <w:r>
              <w:rPr>
                <w:i/>
                <w:iCs/>
              </w:rPr>
              <w:t xml:space="preserve">0.541</w:t>
            </w:r>
          </w:p>
        </w:tc>
      </w:tr>
      <w:tr>
        <w:tc>
          <w:tcPr/>
          <w:p>
            <w:pPr>
              <w:pStyle w:val="Compact"/>
              <w:jc w:val="left"/>
            </w:pPr>
            <w:r>
              <w:t xml:space="preserve">USPS</w:t>
            </w:r>
          </w:p>
        </w:tc>
        <w:tc>
          <w:tcPr/>
          <w:p>
            <w:pPr>
              <w:pStyle w:val="Compact"/>
              <w:jc w:val="center"/>
            </w:pPr>
            <w:r>
              <w:t xml:space="preserve">0.858</w:t>
            </w:r>
          </w:p>
        </w:tc>
        <w:tc>
          <w:tcPr/>
          <w:p>
            <w:pPr>
              <w:pStyle w:val="Compact"/>
              <w:jc w:val="center"/>
            </w:pPr>
            <w:r>
              <w:t xml:space="preserve">0.669</w:t>
            </w:r>
          </w:p>
        </w:tc>
        <w:tc>
          <w:tcPr/>
          <w:p>
            <w:pPr>
              <w:pStyle w:val="Compact"/>
              <w:jc w:val="center"/>
            </w:pPr>
            <m:oMath>
              <m:r>
                <m:rPr>
                  <m:sty m:val="b"/>
                </m:rPr>
                <m:t>0.900</m:t>
              </m:r>
            </m:oMath>
          </w:p>
        </w:tc>
        <w:tc>
          <w:tcPr/>
          <w:p>
            <w:pPr>
              <w:pStyle w:val="Compact"/>
              <w:jc w:val="center"/>
            </w:pPr>
            <w:r>
              <w:t xml:space="preserve">0.871</w:t>
            </w:r>
          </w:p>
        </w:tc>
        <w:tc>
          <w:tcPr/>
          <w:p>
            <w:pPr>
              <w:pStyle w:val="Compact"/>
              <w:jc w:val="center"/>
            </w:pPr>
            <w:r>
              <w:rPr>
                <w:i/>
                <w:iCs/>
              </w:rPr>
              <w:t xml:space="preserve">0.900</w:t>
            </w:r>
          </w:p>
        </w:tc>
      </w:tr>
      <w:tr>
        <w:tc>
          <w:tcPr/>
          <w:p>
            <w:pPr>
              <w:pStyle w:val="Compact"/>
              <w:jc w:val="left"/>
            </w:pPr>
            <w:r>
              <w:t xml:space="preserve">PenDigits</w:t>
            </w:r>
          </w:p>
        </w:tc>
        <w:tc>
          <w:tcPr/>
          <w:p>
            <w:pPr>
              <w:pStyle w:val="Compact"/>
              <w:jc w:val="center"/>
            </w:pPr>
            <w:r>
              <w:t xml:space="preserve">0.759</w:t>
            </w:r>
          </w:p>
        </w:tc>
        <w:tc>
          <w:tcPr/>
          <w:p>
            <w:pPr>
              <w:pStyle w:val="Compact"/>
              <w:jc w:val="center"/>
            </w:pPr>
            <w:r>
              <w:t xml:space="preserve">0.617</w:t>
            </w:r>
          </w:p>
        </w:tc>
        <w:tc>
          <w:tcPr/>
          <w:p>
            <w:pPr>
              <w:pStyle w:val="Compact"/>
              <w:jc w:val="center"/>
            </w:pPr>
            <m:oMath>
              <m:r>
                <m:rPr>
                  <m:sty m:val="b"/>
                </m:rPr>
                <m:t>0.819</m:t>
              </m:r>
            </m:oMath>
          </w:p>
        </w:tc>
        <w:tc>
          <w:tcPr/>
          <w:p>
            <w:pPr>
              <w:pStyle w:val="Compact"/>
              <w:jc w:val="center"/>
            </w:pPr>
            <w:r>
              <w:t xml:space="preserve">0.811</w:t>
            </w:r>
          </w:p>
        </w:tc>
        <w:tc>
          <w:tcPr/>
          <w:p>
            <w:pPr>
              <w:pStyle w:val="Compact"/>
              <w:jc w:val="center"/>
            </w:pPr>
            <w:r>
              <w:rPr>
                <w:i/>
                <w:iCs/>
              </w:rPr>
              <w:t xml:space="preserve">0.819</w:t>
            </w:r>
          </w:p>
        </w:tc>
      </w:tr>
      <w:tr>
        <w:tc>
          <w:tcPr/>
          <w:p>
            <w:pPr>
              <w:pStyle w:val="Compact"/>
              <w:jc w:val="left"/>
            </w:pPr>
            <w:r>
              <w:rPr>
                <w:b/>
                <w:bCs/>
              </w:rPr>
              <w:t xml:space="preserve">Mean</w:t>
            </w:r>
          </w:p>
        </w:tc>
        <w:tc>
          <w:tcPr/>
          <w:p>
            <w:pPr>
              <w:pStyle w:val="Compact"/>
              <w:jc w:val="center"/>
            </w:pPr>
            <w:r>
              <w:t xml:space="preserve">0.580</w:t>
            </w:r>
          </w:p>
        </w:tc>
        <w:tc>
          <w:tcPr/>
          <w:p>
            <w:pPr>
              <w:pStyle w:val="Compact"/>
              <w:jc w:val="center"/>
            </w:pPr>
            <w:r>
              <w:t xml:space="preserve">0.563</w:t>
            </w:r>
          </w:p>
        </w:tc>
        <w:tc>
          <w:tcPr/>
          <w:p>
            <w:pPr>
              <w:pStyle w:val="Compact"/>
              <w:jc w:val="center"/>
            </w:pPr>
            <w:r>
              <w:t xml:space="preserve">0.631</w:t>
            </w:r>
          </w:p>
        </w:tc>
        <w:tc>
          <w:tcPr/>
          <w:p>
            <w:pPr>
              <w:pStyle w:val="Compact"/>
              <w:jc w:val="center"/>
            </w:pPr>
            <w:r>
              <w:rPr>
                <w:b/>
                <w:bCs/>
              </w:rPr>
              <w:t xml:space="preserve">0.623</w:t>
            </w:r>
          </w:p>
        </w:tc>
        <w:tc>
          <w:tcPr/>
          <w:p>
            <w:pPr>
              <w:pStyle w:val="Compact"/>
              <w:jc w:val="center"/>
            </w:pPr>
            <w:r>
              <w:rPr>
                <w:i/>
                <w:iCs/>
              </w:rPr>
              <w:t xml:space="preserve">0.646</w:t>
            </w:r>
          </w:p>
        </w:tc>
      </w:tr>
    </w:tbl>
    <w:bookmarkEnd w:id="54"/>
    <w:bookmarkStart w:id="67" w:name="fig:main_result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06980" cy="1906349"/>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2506980" cy="1906349"/>
                                </a:xfrm>
                                <a:prstGeom prst="rect">
                                  <a:avLst/>
                                </a:prstGeom>
                                <a:noFill/>
                                <a:ln w="9525">
                                  <a:noFill/>
                                  <a:headEnd/>
                                  <a:tailEnd/>
                                </a:ln>
                              </pic:spPr>
                            </pic:pic>
                          </a:graphicData>
                        </a:graphic>
                      </wp:inline>
                    </w:drawing>
                  </w:r>
                </w:p>
              </w:tc>
              <w:tc>
                <w:tcPr/>
                <w:p>
                  <w:pPr>
                    <w:pStyle w:val="Compact"/>
                    <w:jc w:val="center"/>
                    <w:jc w:val="center"/>
                  </w:pPr>
                  <w:r>
                    <w:drawing>
                      <wp:inline>
                        <wp:extent cx="2506980" cy="1269234"/>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2506980" cy="1269234"/>
                                </a:xfrm>
                                <a:prstGeom prst="rect">
                                  <a:avLst/>
                                </a:prstGeom>
                                <a:noFill/>
                                <a:ln w="9525">
                                  <a:noFill/>
                                  <a:headEnd/>
                                  <a:tailEnd/>
                                </a:ln>
                              </pic:spPr>
                            </pic:pic>
                          </a:graphicData>
                        </a:graphic>
                      </wp:inline>
                    </w:drawing>
                  </w:r>
                </w:p>
              </w:tc>
            </w:tr>
            <w:tr>
              <w:tc>
                <w:tcPr/>
                <w:p>
                  <w:pPr>
                    <w:pStyle w:val="Compact"/>
                    <w:jc w:val="center"/>
                    <w:jc w:val="center"/>
                  </w:pPr>
                  <w:r>
                    <w:t xml:space="preserve">(a) Dataset characteristics (</w:t>
                  </w:r>
                  <m:oMath>
                    <m:r>
                      <m:t>n</m:t>
                    </m:r>
                  </m:oMath>
                  <w:r>
                    <w:t xml:space="preserve">,</w:t>
                  </w:r>
                  <w:r>
                    <w:t xml:space="preserve"> </w:t>
                  </w:r>
                  <m:oMath>
                    <m:r>
                      <m:t>d</m:t>
                    </m:r>
                  </m:oMath>
                  <w:r>
                    <w:t xml:space="preserve">)</w:t>
                  </w:r>
                </w:p>
              </w:tc>
              <w:tc>
                <w:tcPr/>
                <w:p>
                  <w:pPr>
                    <w:pStyle w:val="Compact"/>
                    <w:jc w:val="center"/>
                    <w:jc w:val="center"/>
                  </w:pPr>
                  <w:r>
                    <w:t xml:space="preserve">(b) ARI comparison: Baseline vs. DEAC</w:t>
                  </w:r>
                </w:p>
              </w:tc>
            </w:tr>
            <w:tr>
              <w:tc>
                <w:tcPr/>
                <w:p>
                  <w:pPr>
                    <w:pStyle w:val="Compact"/>
                    <w:jc w:val="center"/>
                    <w:jc w:val="center"/>
                  </w:pPr>
                  <w:r>
                    <w:drawing>
                      <wp:inline>
                        <wp:extent cx="2506980" cy="1269234"/>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2506980" cy="1269234"/>
                                </a:xfrm>
                                <a:prstGeom prst="rect">
                                  <a:avLst/>
                                </a:prstGeom>
                                <a:noFill/>
                                <a:ln w="9525">
                                  <a:noFill/>
                                  <a:headEnd/>
                                  <a:tailEnd/>
                                </a:ln>
                              </pic:spPr>
                            </pic:pic>
                          </a:graphicData>
                        </a:graphic>
                      </wp:inline>
                    </w:drawing>
                  </w:r>
                </w:p>
              </w:tc>
              <w:tc>
                <w:tcPr/>
                <w:p>
                  <w:pPr>
                    <w:pStyle w:val="Compact"/>
                    <w:jc w:val="center"/>
                    <w:jc w:val="center"/>
                  </w:pPr>
                  <w:r>
                    <w:drawing>
                      <wp:inline>
                        <wp:extent cx="2506980" cy="1964305"/>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2506980" cy="1964305"/>
                                </a:xfrm>
                                <a:prstGeom prst="rect">
                                  <a:avLst/>
                                </a:prstGeom>
                                <a:noFill/>
                                <a:ln w="9525">
                                  <a:noFill/>
                                  <a:headEnd/>
                                  <a:tailEnd/>
                                </a:ln>
                              </pic:spPr>
                            </pic:pic>
                          </a:graphicData>
                        </a:graphic>
                      </wp:inline>
                    </w:drawing>
                  </w:r>
                </w:p>
              </w:tc>
            </w:tr>
            <w:tr>
              <w:tc>
                <w:tcPr/>
                <w:p>
                  <w:pPr>
                    <w:pStyle w:val="Compact"/>
                    <w:jc w:val="center"/>
                    <w:jc w:val="center"/>
                  </w:pPr>
                  <w:r>
                    <w:t xml:space="preserve">(c) QualityGate activation per dataset</w:t>
                  </w:r>
                </w:p>
              </w:tc>
              <w:tc>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pPr>
      <w:r>
        <w:t xml:space="preserve">Main experimental results. (a) Size and dimensionality of the 12 benchmark datasets. (b) Per-dataset ARI of Baseline versus DEAC. (c) Per-dataset QualityGate activation. (d) Multi-metric improvement heatmap, with datasets sorted by</w:t>
      </w:r>
      <w:r>
        <w:t xml:space="preserve"> </w:t>
      </w:r>
      <m:oMath>
        <m:r>
          <m:rPr>
            <m:sty m:val="p"/>
          </m:rPr>
          <m:t>Δ</m:t>
        </m:r>
      </m:oMath>
      <w:r>
        <w:t xml:space="preserve">ARI descending; blue cells indicate DEAC gains over the Baseline.</w:t>
      </w:r>
    </w:p>
    <w:bookmarkEnd w:id="67"/>
    <w:bookmarkEnd w:id="68"/>
    <w:bookmarkStart w:id="70" w:name="comparison-with-traditional-benchmarks"/>
    <w:p>
      <w:pPr>
        <w:pStyle w:val="Heading2"/>
      </w:pPr>
      <w:r>
        <w:t xml:space="preserve">Comparison with Traditional Benchmarks</w:t>
      </w:r>
    </w:p>
    <w:p>
      <w:pPr>
        <w:pStyle w:val="FirstParagrap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pPr>
      <w:r>
        <w:t xml:space="preserve">ARI vs. classical methods with automatic cluster-count selection (no method is given</w:t>
      </w:r>
      <w:r>
        <w:t xml:space="preserve"> </w:t>
      </w:r>
      <m:oMath>
        <m:r>
          <m:t>C</m:t>
        </m:r>
      </m:oMath>
      <w:r>
        <w:t xml:space="preserve">). Mean over 5 seeds; DEAC is the deployable gate. Bold = best per row.</w:t>
      </w:r>
    </w:p>
    <w:tbl>
      <w:tblPr>
        <w:tblStyle w:val="Table"/>
        <w:tblW w:type="auto" w:w="0"/>
        <w:tblLook w:firstRow="1" w:lastRow="0" w:firstColumn="0" w:lastColumn="0" w:noHBand="0" w:noVBand="0" w:val="0020"/>
        <w:tblCaption w:val="ARI vs. classical methods with automatic cluster-count selection (no method is given C). Mean over 5 seeds; DEAC is the deployable gate. Bold = best per row."/>
      </w:tblPr>
      <w:tblGrid>
        <w:gridCol w:w="1131"/>
        <w:gridCol w:w="1131"/>
        <w:gridCol w:w="1131"/>
        <w:gridCol w:w="1131"/>
        <w:gridCol w:w="1131"/>
        <w:gridCol w:w="1131"/>
        <w:gridCol w:w="1131"/>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KMeans</w:t>
            </w:r>
          </w:p>
        </w:tc>
        <w:tc>
          <w:tcPr/>
          <w:p>
            <w:pPr>
              <w:pStyle w:val="Compact"/>
              <w:jc w:val="center"/>
            </w:pPr>
            <w:r>
              <w:t xml:space="preserve">Spectral</w:t>
            </w:r>
          </w:p>
        </w:tc>
        <w:tc>
          <w:tcPr/>
          <w:p>
            <w:pPr>
              <w:pStyle w:val="Compact"/>
              <w:jc w:val="center"/>
            </w:pPr>
            <w:r>
              <w:t xml:space="preserve">Agglomerative</w:t>
            </w:r>
          </w:p>
        </w:tc>
        <w:tc>
          <w:tcPr/>
          <w:p>
            <w:pPr>
              <w:pStyle w:val="Compact"/>
              <w:jc w:val="center"/>
            </w:pPr>
            <w:r>
              <w:t xml:space="preserve">GMM</w:t>
            </w:r>
          </w:p>
        </w:tc>
        <w:tc>
          <w:tcPr/>
          <w:p>
            <w:pPr>
              <w:pStyle w:val="Compact"/>
              <w:jc w:val="center"/>
            </w:pPr>
            <w:r>
              <w:t xml:space="preserve">HDBSCAN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0.788</w:t>
            </w:r>
          </w:p>
        </w:tc>
        <w:tc>
          <w:tcPr/>
          <w:p>
            <w:pPr>
              <w:pStyle w:val="Compact"/>
              <w:jc w:val="center"/>
            </w:pPr>
            <w:r>
              <w:t xml:space="preserve">0.788</w:t>
            </w:r>
          </w:p>
        </w:tc>
        <w:tc>
          <w:tcPr/>
          <w:p>
            <w:pPr>
              <w:pStyle w:val="Compact"/>
              <w:jc w:val="center"/>
            </w:pPr>
            <m:oMath>
              <m:r>
                <m:rPr>
                  <m:sty m:val="b"/>
                </m:rPr>
                <m:t>0.797</m:t>
              </m:r>
            </m:oMath>
          </w:p>
        </w:tc>
        <w:tc>
          <w:tcPr/>
          <w:p>
            <w:pPr>
              <w:pStyle w:val="Compact"/>
              <w:jc w:val="center"/>
            </w:pPr>
            <w:r>
              <w:t xml:space="preserve">0.791</w:t>
            </w:r>
          </w:p>
        </w:tc>
        <w:tc>
          <w:tcPr/>
          <w:p>
            <w:pPr>
              <w:pStyle w:val="Compact"/>
              <w:jc w:val="center"/>
            </w:pPr>
            <w:r>
              <w:t xml:space="preserve">0.743</w:t>
            </w:r>
          </w:p>
        </w:tc>
      </w:tr>
      <w:tr>
        <w:tc>
          <w:tcPr/>
          <w:p>
            <w:pPr>
              <w:pStyle w:val="Compact"/>
              <w:jc w:val="left"/>
            </w:pPr>
            <w:r>
              <w:t xml:space="preserve">Glass</w:t>
            </w:r>
          </w:p>
        </w:tc>
        <w:tc>
          <w:tcPr/>
          <w:p>
            <w:pPr>
              <w:pStyle w:val="Compact"/>
              <w:jc w:val="center"/>
            </w:pPr>
            <m:oMath>
              <m:r>
                <m:rPr>
                  <m:sty m:val="b"/>
                </m:rPr>
                <m:t>0.169</m:t>
              </m:r>
            </m:oMath>
          </w:p>
        </w:tc>
        <w:tc>
          <w:tcPr/>
          <w:p>
            <w:pPr>
              <w:pStyle w:val="Compact"/>
              <w:jc w:val="center"/>
            </w:pPr>
            <w:r>
              <w:t xml:space="preserve">0.135</w:t>
            </w:r>
          </w:p>
        </w:tc>
        <w:tc>
          <w:tcPr/>
          <w:p>
            <w:pPr>
              <w:pStyle w:val="Compact"/>
              <w:jc w:val="center"/>
            </w:pPr>
            <w:r>
              <w:t xml:space="preserve">0.119</w:t>
            </w:r>
          </w:p>
        </w:tc>
        <w:tc>
          <w:tcPr/>
          <w:p>
            <w:pPr>
              <w:pStyle w:val="Compact"/>
              <w:jc w:val="center"/>
            </w:pPr>
            <w:r>
              <w:t xml:space="preserve">0.133</w:t>
            </w:r>
          </w:p>
        </w:tc>
        <w:tc>
          <w:tcPr/>
          <w:p>
            <w:pPr>
              <w:pStyle w:val="Compact"/>
              <w:jc w:val="center"/>
            </w:pPr>
            <w:r>
              <w:t xml:space="preserve">0.134</w:t>
            </w:r>
          </w:p>
        </w:tc>
        <w:tc>
          <w:tcPr/>
          <w:p>
            <w:pPr>
              <w:pStyle w:val="Compact"/>
              <w:jc w:val="center"/>
            </w:pPr>
            <w:r>
              <w:t xml:space="preserve">0.129</w:t>
            </w:r>
          </w:p>
        </w:tc>
      </w:tr>
      <w:tr>
        <w:tc>
          <w:tcPr/>
          <w:p>
            <w:pPr>
              <w:pStyle w:val="Compact"/>
              <w:jc w:val="left"/>
            </w:pPr>
            <w:r>
              <w:t xml:space="preserve">Olivetti</w:t>
            </w:r>
          </w:p>
        </w:tc>
        <w:tc>
          <w:tcPr/>
          <w:p>
            <w:pPr>
              <w:pStyle w:val="Compact"/>
              <w:jc w:val="center"/>
            </w:pPr>
            <m:oMath>
              <m:r>
                <m:rPr>
                  <m:sty m:val="b"/>
                </m:rPr>
                <m:t>0.237</m:t>
              </m:r>
            </m:oMath>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0.011</w:t>
            </w:r>
          </w:p>
        </w:tc>
        <w:tc>
          <w:tcPr/>
          <w:p>
            <w:pPr>
              <w:pStyle w:val="Compact"/>
              <w:jc w:val="center"/>
            </w:pPr>
            <w:r>
              <w:t xml:space="preserve">0.011</w:t>
            </w:r>
          </w:p>
        </w:tc>
        <w:tc>
          <w:tcPr/>
          <w:p>
            <w:pPr>
              <w:pStyle w:val="Compact"/>
              <w:jc w:val="center"/>
            </w:pPr>
            <w:r>
              <w:t xml:space="preserve">0.037</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0.533</w:t>
            </w:r>
          </w:p>
        </w:tc>
        <w:tc>
          <w:tcPr/>
          <w:p>
            <w:pPr>
              <w:pStyle w:val="Compact"/>
              <w:jc w:val="center"/>
            </w:pPr>
            <w:r>
              <w:t xml:space="preserve">0.292</w:t>
            </w:r>
          </w:p>
        </w:tc>
        <w:tc>
          <w:tcPr/>
          <w:p>
            <w:pPr>
              <w:pStyle w:val="Compact"/>
              <w:jc w:val="center"/>
            </w:pPr>
            <w:r>
              <w:t xml:space="preserve">0.509</w:t>
            </w:r>
          </w:p>
        </w:tc>
        <w:tc>
          <w:tcPr/>
          <w:p>
            <w:pPr>
              <w:pStyle w:val="Compact"/>
              <w:jc w:val="center"/>
            </w:pPr>
            <w:r>
              <w:t xml:space="preserve">0.548</w:t>
            </w:r>
          </w:p>
        </w:tc>
        <w:tc>
          <w:tcPr/>
          <w:p>
            <w:pPr>
              <w:pStyle w:val="Compact"/>
              <w:jc w:val="center"/>
            </w:pPr>
            <w:r>
              <w:t xml:space="preserve">0.618</w:t>
            </w:r>
          </w:p>
        </w:tc>
      </w:tr>
      <w:tr>
        <w:tc>
          <w:tcPr/>
          <w:p>
            <w:pPr>
              <w:pStyle w:val="Compact"/>
              <w:jc w:val="left"/>
            </w:pPr>
            <w:r>
              <w:t xml:space="preserve">COIL-20</w:t>
            </w:r>
          </w:p>
        </w:tc>
        <w:tc>
          <w:tcPr/>
          <w:p>
            <w:pPr>
              <w:pStyle w:val="Compact"/>
              <w:jc w:val="center"/>
            </w:pPr>
            <m:oMath>
              <m:r>
                <m:rPr>
                  <m:sty m:val="b"/>
                </m:rPr>
                <m:t>0.754</m:t>
              </m:r>
            </m:oMath>
          </w:p>
        </w:tc>
        <w:tc>
          <w:tcPr/>
          <w:p>
            <w:pPr>
              <w:pStyle w:val="Compact"/>
              <w:jc w:val="center"/>
            </w:pPr>
            <w:r>
              <w:t xml:space="preserve">0.435</w:t>
            </w:r>
          </w:p>
        </w:tc>
        <w:tc>
          <w:tcPr/>
          <w:p>
            <w:pPr>
              <w:pStyle w:val="Compact"/>
              <w:jc w:val="center"/>
            </w:pPr>
            <w:r>
              <w:t xml:space="preserve">0.179</w:t>
            </w:r>
          </w:p>
        </w:tc>
        <w:tc>
          <w:tcPr/>
          <w:p>
            <w:pPr>
              <w:pStyle w:val="Compact"/>
              <w:jc w:val="center"/>
            </w:pPr>
            <w:r>
              <w:t xml:space="preserve">0.435</w:t>
            </w:r>
          </w:p>
        </w:tc>
        <w:tc>
          <w:tcPr/>
          <w:p>
            <w:pPr>
              <w:pStyle w:val="Compact"/>
              <w:jc w:val="center"/>
            </w:pPr>
            <w:r>
              <w:t xml:space="preserve">0.443</w:t>
            </w:r>
          </w:p>
        </w:tc>
        <w:tc>
          <w:tcPr/>
          <w:p>
            <w:pPr>
              <w:pStyle w:val="Compact"/>
              <w:jc w:val="center"/>
            </w:pPr>
            <w:r>
              <w:t xml:space="preserve">0.516</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0.846</w:t>
            </w:r>
          </w:p>
        </w:tc>
        <w:tc>
          <w:tcPr/>
          <w:p>
            <w:pPr>
              <w:pStyle w:val="Compact"/>
              <w:jc w:val="center"/>
            </w:pPr>
            <w:r>
              <w:t xml:space="preserve">0.436</w:t>
            </w:r>
          </w:p>
        </w:tc>
        <w:tc>
          <w:tcPr/>
          <w:p>
            <w:pPr>
              <w:pStyle w:val="Compact"/>
              <w:jc w:val="center"/>
            </w:pPr>
            <m:oMath>
              <m:r>
                <m:rPr>
                  <m:sty m:val="b"/>
                </m:rPr>
                <m:t>0.855</m:t>
              </m:r>
            </m:oMath>
          </w:p>
        </w:tc>
        <w:tc>
          <w:tcPr/>
          <w:p>
            <w:pPr>
              <w:pStyle w:val="Compact"/>
              <w:jc w:val="center"/>
            </w:pPr>
            <w:r>
              <w:t xml:space="preserve">0.852</w:t>
            </w:r>
          </w:p>
        </w:tc>
        <w:tc>
          <w:tcPr/>
          <w:p>
            <w:pPr>
              <w:pStyle w:val="Compact"/>
              <w:jc w:val="center"/>
            </w:pPr>
            <w:r>
              <w:t xml:space="preserve">0.778</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0.937</w:t>
            </w:r>
          </w:p>
        </w:tc>
        <w:tc>
          <w:tcPr/>
          <w:p>
            <w:pPr>
              <w:pStyle w:val="Compact"/>
              <w:jc w:val="center"/>
            </w:pPr>
            <w:r>
              <w:t xml:space="preserve">0.448</w:t>
            </w:r>
          </w:p>
        </w:tc>
        <w:tc>
          <w:tcPr/>
          <w:p>
            <w:pPr>
              <w:pStyle w:val="Compact"/>
              <w:jc w:val="center"/>
            </w:pPr>
            <w:r>
              <w:t xml:space="preserve">0.937</w:t>
            </w:r>
          </w:p>
        </w:tc>
        <w:tc>
          <w:tcPr/>
          <w:p>
            <w:pPr>
              <w:pStyle w:val="Compact"/>
              <w:jc w:val="center"/>
            </w:pPr>
            <w:r>
              <w:t xml:space="preserve">0.937</w:t>
            </w:r>
          </w:p>
        </w:tc>
        <w:tc>
          <w:tcPr/>
          <w:p>
            <w:pPr>
              <w:pStyle w:val="Compact"/>
              <w:jc w:val="center"/>
            </w:pPr>
            <w:r>
              <w:t xml:space="preserve">0.925</w:t>
            </w:r>
          </w:p>
        </w:tc>
      </w:tr>
      <w:tr>
        <w:tc>
          <w:tcPr/>
          <w:p>
            <w:pPr>
              <w:pStyle w:val="Compact"/>
              <w:jc w:val="left"/>
            </w:pPr>
            <w:r>
              <w:t xml:space="preserve">Segment.</w:t>
            </w:r>
          </w:p>
        </w:tc>
        <w:tc>
          <w:tcPr/>
          <w:p>
            <w:pPr>
              <w:pStyle w:val="Compact"/>
              <w:jc w:val="center"/>
            </w:pPr>
            <w:r>
              <w:t xml:space="preserve">0.413</w:t>
            </w:r>
          </w:p>
        </w:tc>
        <w:tc>
          <w:tcPr/>
          <w:p>
            <w:pPr>
              <w:pStyle w:val="Compact"/>
              <w:jc w:val="center"/>
            </w:pPr>
            <m:oMath>
              <m:r>
                <m:rPr>
                  <m:sty m:val="b"/>
                </m:rPr>
                <m:t>0.427</m:t>
              </m:r>
            </m:oMath>
          </w:p>
        </w:tc>
        <w:tc>
          <w:tcPr/>
          <w:p>
            <w:pPr>
              <w:pStyle w:val="Compact"/>
              <w:jc w:val="center"/>
            </w:pPr>
            <w:r>
              <w:t xml:space="preserve">0.143</w:t>
            </w:r>
          </w:p>
        </w:tc>
        <w:tc>
          <w:tcPr/>
          <w:p>
            <w:pPr>
              <w:pStyle w:val="Compact"/>
              <w:jc w:val="center"/>
            </w:pPr>
            <w:r>
              <w:t xml:space="preserve">0.413</w:t>
            </w:r>
          </w:p>
        </w:tc>
        <w:tc>
          <w:tcPr/>
          <w:p>
            <w:pPr>
              <w:pStyle w:val="Compact"/>
              <w:jc w:val="center"/>
            </w:pPr>
            <w:r>
              <w:t xml:space="preserve">0.423</w:t>
            </w:r>
          </w:p>
        </w:tc>
        <w:tc>
          <w:tcPr/>
          <w:p>
            <w:pPr>
              <w:pStyle w:val="Compact"/>
              <w:jc w:val="center"/>
            </w:pPr>
            <w:r>
              <w:t xml:space="preserve">0.320</w:t>
            </w:r>
          </w:p>
        </w:tc>
      </w:tr>
      <w:tr>
        <w:tc>
          <w:tcPr/>
          <w:p>
            <w:pPr>
              <w:pStyle w:val="Compact"/>
              <w:jc w:val="left"/>
            </w:pPr>
            <w:r>
              <w:t xml:space="preserve">ISOLET</w:t>
            </w:r>
          </w:p>
        </w:tc>
        <w:tc>
          <w:tcPr/>
          <w:p>
            <w:pPr>
              <w:pStyle w:val="Compact"/>
              <w:jc w:val="center"/>
            </w:pPr>
            <m:oMath>
              <m:r>
                <m:rPr>
                  <m:sty m:val="b"/>
                </m:rPr>
                <m:t>0.476</m:t>
              </m:r>
            </m:oMath>
          </w:p>
        </w:tc>
        <w:tc>
          <w:tcPr/>
          <w:p>
            <w:pPr>
              <w:pStyle w:val="Compact"/>
              <w:jc w:val="center"/>
            </w:pPr>
            <w:r>
              <w:t xml:space="preserve">0.283</w:t>
            </w:r>
          </w:p>
        </w:tc>
        <w:tc>
          <w:tcPr/>
          <w:p>
            <w:pPr>
              <w:pStyle w:val="Compact"/>
              <w:jc w:val="center"/>
            </w:pPr>
            <w:r>
              <w:t xml:space="preserve">0.168</w:t>
            </w:r>
          </w:p>
        </w:tc>
        <w:tc>
          <w:tcPr/>
          <w:p>
            <w:pPr>
              <w:pStyle w:val="Compact"/>
              <w:jc w:val="center"/>
            </w:pPr>
            <w:r>
              <w:t xml:space="preserve">0.283</w:t>
            </w:r>
          </w:p>
        </w:tc>
        <w:tc>
          <w:tcPr/>
          <w:p>
            <w:pPr>
              <w:pStyle w:val="Compact"/>
              <w:jc w:val="center"/>
            </w:pPr>
            <w:r>
              <w:t xml:space="preserve">0.365</w:t>
            </w:r>
          </w:p>
        </w:tc>
        <w:tc>
          <w:tcPr/>
          <w:p>
            <w:pPr>
              <w:pStyle w:val="Compact"/>
              <w:jc w:val="center"/>
            </w:pPr>
            <w:r>
              <w:t xml:space="preserve">0.250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0.628</m:t>
              </m:r>
            </m:oMath>
          </w:p>
        </w:tc>
        <w:tc>
          <w:tcPr/>
          <w:p>
            <w:pPr>
              <w:pStyle w:val="Compact"/>
              <w:jc w:val="center"/>
            </w:pPr>
            <w:r>
              <w:t xml:space="preserve">0.480</w:t>
            </w:r>
          </w:p>
        </w:tc>
        <w:tc>
          <w:tcPr/>
          <w:p>
            <w:pPr>
              <w:pStyle w:val="Compact"/>
              <w:jc w:val="center"/>
            </w:pPr>
            <w:r>
              <w:t xml:space="preserve">0.620</w:t>
            </w:r>
          </w:p>
        </w:tc>
        <w:tc>
          <w:tcPr/>
          <w:p>
            <w:pPr>
              <w:pStyle w:val="Compact"/>
              <w:jc w:val="center"/>
            </w:pPr>
            <w:r>
              <w:t xml:space="preserve">0.611</w:t>
            </w:r>
          </w:p>
        </w:tc>
        <w:tc>
          <w:tcPr/>
          <w:p>
            <w:pPr>
              <w:pStyle w:val="Compact"/>
              <w:jc w:val="center"/>
            </w:pPr>
            <w:r>
              <w:t xml:space="preserve">0.358</w:t>
            </w:r>
          </w:p>
        </w:tc>
      </w:tr>
      <w:tr>
        <w:tc>
          <w:tcPr/>
          <w:p>
            <w:pPr>
              <w:pStyle w:val="Compact"/>
              <w:jc w:val="left"/>
            </w:pPr>
            <w:r>
              <w:t xml:space="preserve">USPS</w:t>
            </w:r>
          </w:p>
        </w:tc>
        <w:tc>
          <w:tcPr/>
          <w:p>
            <w:pPr>
              <w:pStyle w:val="Compact"/>
              <w:jc w:val="center"/>
            </w:pPr>
            <m:oMath>
              <m:r>
                <m:rPr>
                  <m:sty m:val="b"/>
                </m:rPr>
                <m:t>0.871</m:t>
              </m:r>
            </m:oMath>
          </w:p>
        </w:tc>
        <w:tc>
          <w:tcPr/>
          <w:p>
            <w:pPr>
              <w:pStyle w:val="Compact"/>
              <w:jc w:val="center"/>
            </w:pPr>
            <w:r>
              <w:t xml:space="preserve">0.639</w:t>
            </w:r>
          </w:p>
        </w:tc>
        <w:tc>
          <w:tcPr/>
          <w:p>
            <w:pPr>
              <w:pStyle w:val="Compact"/>
              <w:jc w:val="center"/>
            </w:pPr>
            <w:r>
              <w:t xml:space="preserve">0.470</w:t>
            </w:r>
          </w:p>
        </w:tc>
        <w:tc>
          <w:tcPr/>
          <w:p>
            <w:pPr>
              <w:pStyle w:val="Compact"/>
              <w:jc w:val="center"/>
            </w:pPr>
            <w:r>
              <w:t xml:space="preserve">0.639</w:t>
            </w:r>
          </w:p>
        </w:tc>
        <w:tc>
          <w:tcPr/>
          <w:p>
            <w:pPr>
              <w:pStyle w:val="Compact"/>
              <w:jc w:val="center"/>
            </w:pPr>
            <w:r>
              <w:t xml:space="preserve">0.639</w:t>
            </w:r>
          </w:p>
        </w:tc>
        <w:tc>
          <w:tcPr/>
          <w:p>
            <w:pPr>
              <w:pStyle w:val="Compact"/>
              <w:jc w:val="center"/>
            </w:pPr>
            <w:r>
              <w:t xml:space="preserve">0.705</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0.801</w:t>
            </w:r>
          </w:p>
        </w:tc>
        <w:tc>
          <w:tcPr/>
          <w:p>
            <w:pPr>
              <w:pStyle w:val="Compact"/>
              <w:jc w:val="center"/>
            </w:pPr>
            <w:r>
              <w:t xml:space="preserve">0.103</w:t>
            </w:r>
          </w:p>
        </w:tc>
        <w:tc>
          <w:tcPr/>
          <w:p>
            <w:pPr>
              <w:pStyle w:val="Compact"/>
              <w:jc w:val="center"/>
            </w:pPr>
            <m:oMath>
              <m:r>
                <m:rPr>
                  <m:sty m:val="b"/>
                </m:rPr>
                <m:t>0.814</m:t>
              </m:r>
            </m:oMath>
          </w:p>
        </w:tc>
        <w:tc>
          <w:tcPr/>
          <w:p>
            <w:pPr>
              <w:pStyle w:val="Compact"/>
              <w:jc w:val="center"/>
            </w:pPr>
            <w:r>
              <w:t xml:space="preserve">0.800</w:t>
            </w:r>
          </w:p>
        </w:tc>
        <w:tc>
          <w:tcPr/>
          <w:p>
            <w:pPr>
              <w:pStyle w:val="Compact"/>
              <w:jc w:val="center"/>
            </w:pPr>
            <w:r>
              <w:t xml:space="preserve">0.800</w:t>
            </w:r>
          </w:p>
        </w:tc>
      </w:tr>
      <w:tr>
        <w:tc>
          <w:tcPr/>
          <w:p>
            <w:pPr>
              <w:pStyle w:val="Compact"/>
              <w:jc w:val="left"/>
            </w:pPr>
            <w:r>
              <w:rPr>
                <w:b/>
                <w:bCs/>
              </w:rPr>
              <w:t xml:space="preserve">Mean</w:t>
            </w:r>
          </w:p>
        </w:tc>
        <w:tc>
          <w:tcPr/>
          <w:p>
            <w:pPr>
              <w:pStyle w:val="Compact"/>
              <w:jc w:val="center"/>
            </w:pPr>
            <m:oMath>
              <m:r>
                <m:rPr>
                  <m:sty m:val="b"/>
                </m:rPr>
                <m:t>0.623</m:t>
              </m:r>
            </m:oMath>
          </w:p>
        </w:tc>
        <w:tc>
          <w:tcPr/>
          <w:p>
            <w:pPr>
              <w:pStyle w:val="Compact"/>
              <w:jc w:val="center"/>
            </w:pPr>
            <w:r>
              <w:t xml:space="preserve">0.539</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0.546</w:t>
            </w:r>
          </w:p>
        </w:tc>
        <w:tc>
          <w:tcPr/>
          <w:p>
            <w:pPr>
              <w:pStyle w:val="Compact"/>
              <w:jc w:val="center"/>
            </w:pPr>
            <w:r>
              <w:t xml:space="preserve">0.515</w:t>
            </w:r>
          </w:p>
        </w:tc>
      </w:tr>
    </w:tbl>
    <w:bookmarkEnd w:id="69"/>
    <w:p>
      <w:pPr>
        <w:pStyle w:val="BodyText"/>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pPr>
      <w:r>
        <w:t xml:space="preserve">Comparison with Deep Clustering</w:t>
      </w:r>
    </w:p>
    <w:p>
      <w:pPr>
        <w:pStyle w:val="FirstParagrap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[28], DEC [27],</w:t>
      </w:r>
      <w:r>
        <w:t xml:space="preserve"> </w:t>
      </w:r>
      <w:r>
        <w:t xml:space="preserve">IDEC [29], and DCN [30].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pPr>
      <w:r>
        <w:t xml:space="preserve">ARI vs. deep-clustering methods (each</w:t>
      </w:r>
      <w:r>
        <w:t xml:space="preserve"> </w:t>
      </w:r>
      <w:r>
        <w:rPr>
          <w:i/>
          <w:iCs/>
        </w:rPr>
        <w:t xml:space="preserve">given</w:t>
      </w:r>
      <w:r>
        <w:t xml:space="preserve"> </w:t>
      </w:r>
      <w:r>
        <w:t xml:space="preserve">the true</w:t>
      </w:r>
      <w:r>
        <w:t xml:space="preserve"> </w:t>
      </w:r>
      <m:oMath>
        <m:r>
          <m:t>C</m:t>
        </m:r>
      </m:oMath>
      <w:r>
        <w:t xml:space="preserve">; DEAC infers it). Mean over 5 seeds; DEAC is the deployable gate. Bold = best per row.</w:t>
      </w:r>
    </w:p>
    <w:tbl>
      <w:tblPr>
        <w:tblStyle w:val="Table"/>
        <w:tblW w:type="auto" w:w="0"/>
        <w:tblLook w:firstRow="1" w:lastRow="0" w:firstColumn="0" w:lastColumn="0" w:noHBand="0" w:noVBand="0" w:val="0020"/>
        <w:tblCaption w:val="ARI vs. deep-clustering methods (each given the true C; DEAC infers it). Mean over 5 seeds; DEAC is the deployable gate. Bold = best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N2D</w:t>
            </w:r>
          </w:p>
        </w:tc>
        <w:tc>
          <w:tcPr/>
          <w:p>
            <w:pPr>
              <w:pStyle w:val="Compact"/>
              <w:jc w:val="center"/>
            </w:pPr>
            <w:r>
              <w:t xml:space="preserve">DEC</w:t>
            </w:r>
          </w:p>
        </w:tc>
        <w:tc>
          <w:tcPr/>
          <w:p>
            <w:pPr>
              <w:pStyle w:val="Compact"/>
              <w:jc w:val="center"/>
            </w:pPr>
            <w:r>
              <w:t xml:space="preserve">IDEC</w:t>
            </w:r>
          </w:p>
        </w:tc>
        <w:tc>
          <w:tcPr/>
          <w:p>
            <w:pPr>
              <w:pStyle w:val="Compact"/>
              <w:jc w:val="center"/>
            </w:pPr>
            <w:r>
              <w:t xml:space="preserve">DCN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0.798</w:t>
            </w:r>
          </w:p>
        </w:tc>
        <w:tc>
          <w:tcPr/>
          <w:p>
            <w:pPr>
              <w:pStyle w:val="Compact"/>
              <w:jc w:val="center"/>
            </w:pPr>
            <m:oMath>
              <m:r>
                <m:rPr>
                  <m:sty m:val="b"/>
                </m:rPr>
                <m:t>0.870</m:t>
              </m:r>
            </m:oMath>
          </w:p>
        </w:tc>
        <w:tc>
          <w:tcPr/>
          <w:p>
            <w:pPr>
              <w:pStyle w:val="Compact"/>
              <w:jc w:val="center"/>
            </w:pPr>
            <w:r>
              <w:t xml:space="preserve">0.867</w:t>
            </w:r>
          </w:p>
        </w:tc>
        <w:tc>
          <w:tcPr/>
          <w:p>
            <w:pPr>
              <w:pStyle w:val="Compact"/>
              <w:jc w:val="center"/>
            </w:pPr>
            <w:r>
              <w:t xml:space="preserve">0.732</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0.169</w:t>
            </w:r>
          </w:p>
        </w:tc>
        <w:tc>
          <w:tcPr/>
          <w:p>
            <w:pPr>
              <w:pStyle w:val="Compact"/>
              <w:jc w:val="center"/>
            </w:pPr>
            <m:oMath>
              <m:r>
                <m:rPr>
                  <m:sty m:val="b"/>
                </m:rPr>
                <m:t>0.199</m:t>
              </m:r>
            </m:oMath>
          </w:p>
        </w:tc>
        <w:tc>
          <w:tcPr/>
          <w:p>
            <w:pPr>
              <w:pStyle w:val="Compact"/>
              <w:jc w:val="center"/>
            </w:pPr>
            <w:r>
              <w:t xml:space="preserve">0.197</w:t>
            </w:r>
          </w:p>
        </w:tc>
        <w:tc>
          <w:tcPr/>
          <w:p>
            <w:pPr>
              <w:pStyle w:val="Compact"/>
              <w:jc w:val="center"/>
            </w:pPr>
            <w:r>
              <w:t xml:space="preserve">0.171</w:t>
            </w:r>
          </w:p>
        </w:tc>
      </w:tr>
      <w:tr>
        <w:tc>
          <w:tcPr/>
          <w:p>
            <w:pPr>
              <w:pStyle w:val="Compact"/>
              <w:jc w:val="left"/>
            </w:pPr>
            <w:r>
              <w:t xml:space="preserve">Olivetti</w:t>
            </w:r>
          </w:p>
        </w:tc>
        <w:tc>
          <w:tcPr/>
          <w:p>
            <w:pPr>
              <w:pStyle w:val="Compact"/>
              <w:jc w:val="center"/>
            </w:pPr>
            <w:r>
              <w:t xml:space="preserve">0.237</w:t>
            </w:r>
          </w:p>
        </w:tc>
        <w:tc>
          <w:tcPr/>
          <w:p>
            <w:pPr>
              <w:pStyle w:val="Compact"/>
              <w:jc w:val="center"/>
            </w:pPr>
            <m:oMath>
              <m:r>
                <m:rPr>
                  <m:sty m:val="b"/>
                </m:rPr>
                <m:t>0.503</m:t>
              </m:r>
            </m:oMath>
          </w:p>
        </w:tc>
        <w:tc>
          <w:tcPr/>
          <w:p>
            <w:pPr>
              <w:pStyle w:val="Compact"/>
              <w:jc w:val="center"/>
            </w:pPr>
            <w:r>
              <w:t xml:space="preserve">0.461</w:t>
            </w:r>
          </w:p>
        </w:tc>
        <w:tc>
          <w:tcPr/>
          <w:p>
            <w:pPr>
              <w:pStyle w:val="Compact"/>
              <w:jc w:val="center"/>
            </w:pPr>
            <w:r>
              <w:t xml:space="preserve">0.461</w:t>
            </w:r>
          </w:p>
        </w:tc>
        <w:tc>
          <w:tcPr/>
          <w:p>
            <w:pPr>
              <w:pStyle w:val="Compact"/>
              <w:jc w:val="center"/>
            </w:pPr>
            <w:r>
              <w:t xml:space="preserve">0.466</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0.468</w:t>
            </w:r>
          </w:p>
        </w:tc>
        <w:tc>
          <w:tcPr/>
          <w:p>
            <w:pPr>
              <w:pStyle w:val="Compact"/>
              <w:jc w:val="center"/>
            </w:pPr>
            <w:r>
              <w:t xml:space="preserve">0.069</w:t>
            </w:r>
          </w:p>
        </w:tc>
        <w:tc>
          <w:tcPr/>
          <w:p>
            <w:pPr>
              <w:pStyle w:val="Compact"/>
              <w:jc w:val="center"/>
            </w:pPr>
            <w:r>
              <w:t xml:space="preserve">0.069</w:t>
            </w:r>
          </w:p>
        </w:tc>
        <w:tc>
          <w:tcPr/>
          <w:p>
            <w:pPr>
              <w:pStyle w:val="Compact"/>
              <w:jc w:val="center"/>
            </w:pPr>
            <w:r>
              <w:t xml:space="preserve">0.019</w:t>
            </w:r>
          </w:p>
        </w:tc>
      </w:tr>
      <w:tr>
        <w:tc>
          <w:tcPr/>
          <w:p>
            <w:pPr>
              <w:pStyle w:val="Compact"/>
              <w:jc w:val="left"/>
            </w:pPr>
            <w:r>
              <w:t xml:space="preserve">COIL-20</w:t>
            </w:r>
          </w:p>
        </w:tc>
        <w:tc>
          <w:tcPr/>
          <w:p>
            <w:pPr>
              <w:pStyle w:val="Compact"/>
              <w:jc w:val="center"/>
            </w:pPr>
            <w:r>
              <w:t xml:space="preserve">0.754</w:t>
            </w:r>
          </w:p>
        </w:tc>
        <w:tc>
          <w:tcPr/>
          <w:p>
            <w:pPr>
              <w:pStyle w:val="Compact"/>
              <w:jc w:val="center"/>
            </w:pPr>
            <m:oMath>
              <m:r>
                <m:rPr>
                  <m:sty m:val="b"/>
                </m:rPr>
                <m:t>0.784</m:t>
              </m:r>
            </m:oMath>
          </w:p>
        </w:tc>
        <w:tc>
          <w:tcPr/>
          <w:p>
            <w:pPr>
              <w:pStyle w:val="Compact"/>
              <w:jc w:val="center"/>
            </w:pPr>
            <w:r>
              <w:t xml:space="preserve">0.504</w:t>
            </w:r>
          </w:p>
        </w:tc>
        <w:tc>
          <w:tcPr/>
          <w:p>
            <w:pPr>
              <w:pStyle w:val="Compact"/>
              <w:jc w:val="center"/>
            </w:pPr>
            <w:r>
              <w:t xml:space="preserve">0.505</w:t>
            </w:r>
          </w:p>
        </w:tc>
        <w:tc>
          <w:tcPr/>
          <w:p>
            <w:pPr>
              <w:pStyle w:val="Compact"/>
              <w:jc w:val="center"/>
            </w:pPr>
            <w:r>
              <w:t xml:space="preserve">0.510</w:t>
            </w:r>
          </w:p>
        </w:tc>
      </w:tr>
      <w:tr>
        <w:tc>
          <w:tcPr/>
          <w:p>
            <w:pPr>
              <w:pStyle w:val="Compact"/>
              <w:jc w:val="left"/>
            </w:pPr>
            <w:r>
              <w:t xml:space="preserve">Optdigits</w:t>
            </w:r>
          </w:p>
        </w:tc>
        <w:tc>
          <w:tcPr/>
          <w:p>
            <w:pPr>
              <w:pStyle w:val="Compact"/>
              <w:jc w:val="center"/>
            </w:pPr>
            <m:oMath>
              <m:r>
                <m:rPr>
                  <m:sty m:val="b"/>
                </m:rPr>
                <m:t>0.848</m:t>
              </m:r>
            </m:oMath>
          </w:p>
        </w:tc>
        <w:tc>
          <w:tcPr/>
          <w:p>
            <w:pPr>
              <w:pStyle w:val="Compact"/>
              <w:jc w:val="center"/>
            </w:pPr>
            <w:r>
              <w:t xml:space="preserve">0.812</w:t>
            </w:r>
          </w:p>
        </w:tc>
        <w:tc>
          <w:tcPr/>
          <w:p>
            <w:pPr>
              <w:pStyle w:val="Compact"/>
              <w:jc w:val="center"/>
            </w:pPr>
            <w:r>
              <w:t xml:space="preserve">0.516</w:t>
            </w:r>
          </w:p>
        </w:tc>
        <w:tc>
          <w:tcPr/>
          <w:p>
            <w:pPr>
              <w:pStyle w:val="Compact"/>
              <w:jc w:val="center"/>
            </w:pPr>
            <w:r>
              <w:t xml:space="preserve">0.517</w:t>
            </w:r>
          </w:p>
        </w:tc>
        <w:tc>
          <w:tcPr/>
          <w:p>
            <w:pPr>
              <w:pStyle w:val="Compact"/>
              <w:jc w:val="center"/>
            </w:pPr>
            <w:r>
              <w:t xml:space="preserve">0.547</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0.921</w:t>
            </w:r>
          </w:p>
        </w:tc>
        <w:tc>
          <w:tcPr/>
          <w:p>
            <w:pPr>
              <w:pStyle w:val="Compact"/>
              <w:jc w:val="center"/>
            </w:pPr>
            <w:r>
              <w:t xml:space="preserve">0.701</w:t>
            </w:r>
          </w:p>
        </w:tc>
        <w:tc>
          <w:tcPr/>
          <w:p>
            <w:pPr>
              <w:pStyle w:val="Compact"/>
              <w:jc w:val="center"/>
            </w:pPr>
            <w:r>
              <w:t xml:space="preserve">0.703</w:t>
            </w:r>
          </w:p>
        </w:tc>
        <w:tc>
          <w:tcPr/>
          <w:p>
            <w:pPr>
              <w:pStyle w:val="Compact"/>
              <w:jc w:val="center"/>
            </w:pPr>
            <w:r>
              <w:t xml:space="preserve">0.769</w:t>
            </w:r>
          </w:p>
        </w:tc>
      </w:tr>
      <w:tr>
        <w:tc>
          <w:tcPr/>
          <w:p>
            <w:pPr>
              <w:pStyle w:val="Compact"/>
              <w:jc w:val="left"/>
            </w:pPr>
            <w:r>
              <w:t xml:space="preserve">Segment.</w:t>
            </w:r>
          </w:p>
        </w:tc>
        <w:tc>
          <w:tcPr/>
          <w:p>
            <w:pPr>
              <w:pStyle w:val="Compact"/>
              <w:jc w:val="center"/>
            </w:pPr>
            <m:oMath>
              <m:r>
                <m:rPr>
                  <m:sty m:val="b"/>
                </m:rPr>
                <m:t>0.413</m:t>
              </m:r>
            </m:oMath>
          </w:p>
        </w:tc>
        <w:tc>
          <w:tcPr/>
          <w:p>
            <w:pPr>
              <w:pStyle w:val="Compact"/>
              <w:jc w:val="center"/>
            </w:pPr>
            <w:r>
              <w:t xml:space="preserve">0.387</w:t>
            </w:r>
          </w:p>
        </w:tc>
        <w:tc>
          <w:tcPr/>
          <w:p>
            <w:pPr>
              <w:pStyle w:val="Compact"/>
              <w:jc w:val="center"/>
            </w:pPr>
            <w:r>
              <w:t xml:space="preserve">0.408</w:t>
            </w:r>
          </w:p>
        </w:tc>
        <w:tc>
          <w:tcPr/>
          <w:p>
            <w:pPr>
              <w:pStyle w:val="Compact"/>
              <w:jc w:val="center"/>
            </w:pPr>
            <w:r>
              <w:t xml:space="preserve">0.411</w:t>
            </w:r>
          </w:p>
        </w:tc>
        <w:tc>
          <w:tcPr/>
          <w:p>
            <w:pPr>
              <w:pStyle w:val="Compact"/>
              <w:jc w:val="center"/>
            </w:pPr>
            <w:r>
              <w:t xml:space="preserve">0.408</w:t>
            </w:r>
          </w:p>
        </w:tc>
      </w:tr>
      <w:tr>
        <w:tc>
          <w:tcPr/>
          <w:p>
            <w:pPr>
              <w:pStyle w:val="Compact"/>
              <w:jc w:val="left"/>
            </w:pPr>
            <w:r>
              <w:t xml:space="preserve">ISOLET</w:t>
            </w:r>
          </w:p>
        </w:tc>
        <w:tc>
          <w:tcPr/>
          <w:p>
            <w:pPr>
              <w:pStyle w:val="Compact"/>
              <w:jc w:val="center"/>
            </w:pPr>
            <w:r>
              <w:t xml:space="preserve">0.476</w:t>
            </w:r>
          </w:p>
        </w:tc>
        <w:tc>
          <w:tcPr/>
          <w:p>
            <w:pPr>
              <w:pStyle w:val="Compact"/>
              <w:jc w:val="center"/>
            </w:pPr>
            <m:oMath>
              <m:r>
                <m:rPr>
                  <m:sty m:val="b"/>
                </m:rPr>
                <m:t>0.496</m:t>
              </m:r>
            </m:oMath>
          </w:p>
        </w:tc>
        <w:tc>
          <w:tcPr/>
          <w:p>
            <w:pPr>
              <w:pStyle w:val="Compact"/>
              <w:jc w:val="center"/>
            </w:pPr>
            <w:r>
              <w:t xml:space="preserve">0.382</w:t>
            </w:r>
          </w:p>
        </w:tc>
        <w:tc>
          <w:tcPr/>
          <w:p>
            <w:pPr>
              <w:pStyle w:val="Compact"/>
              <w:jc w:val="center"/>
            </w:pPr>
            <w:r>
              <w:t xml:space="preserve">0.385</w:t>
            </w:r>
          </w:p>
        </w:tc>
        <w:tc>
          <w:tcPr/>
          <w:p>
            <w:pPr>
              <w:pStyle w:val="Compact"/>
              <w:jc w:val="center"/>
            </w:pPr>
            <w:r>
              <w:t xml:space="preserve">0.400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0.658</m:t>
              </m:r>
            </m:oMath>
          </w:p>
        </w:tc>
        <w:tc>
          <w:tcPr/>
          <w:p>
            <w:pPr>
              <w:pStyle w:val="Compact"/>
              <w:jc w:val="center"/>
            </w:pPr>
            <w:r>
              <w:t xml:space="preserve">0.550</w:t>
            </w:r>
          </w:p>
        </w:tc>
        <w:tc>
          <w:tcPr/>
          <w:p>
            <w:pPr>
              <w:pStyle w:val="Compact"/>
              <w:jc w:val="center"/>
            </w:pPr>
            <w:r>
              <w:t xml:space="preserve">0.550</w:t>
            </w:r>
          </w:p>
        </w:tc>
        <w:tc>
          <w:tcPr/>
          <w:p>
            <w:pPr>
              <w:pStyle w:val="Compact"/>
              <w:jc w:val="center"/>
            </w:pPr>
            <w:r>
              <w:t xml:space="preserve">0.544</w:t>
            </w:r>
          </w:p>
        </w:tc>
      </w:tr>
      <w:tr>
        <w:tc>
          <w:tcPr/>
          <w:p>
            <w:pPr>
              <w:pStyle w:val="Compact"/>
              <w:jc w:val="left"/>
            </w:pPr>
            <w:r>
              <w:t xml:space="preserve">USPS</w:t>
            </w:r>
          </w:p>
        </w:tc>
        <w:tc>
          <w:tcPr/>
          <w:p>
            <w:pPr>
              <w:pStyle w:val="Compact"/>
              <w:jc w:val="center"/>
            </w:pPr>
            <w:r>
              <w:t xml:space="preserve">0.871</w:t>
            </w:r>
          </w:p>
        </w:tc>
        <w:tc>
          <w:tcPr/>
          <w:p>
            <w:pPr>
              <w:pStyle w:val="Compact"/>
              <w:jc w:val="center"/>
            </w:pPr>
            <m:oMath>
              <m:r>
                <m:rPr>
                  <m:sty m:val="b"/>
                </m:rPr>
                <m:t>0.930</m:t>
              </m:r>
            </m:oMath>
          </w:p>
        </w:tc>
        <w:tc>
          <w:tcPr/>
          <w:p>
            <w:pPr>
              <w:pStyle w:val="Compact"/>
              <w:jc w:val="center"/>
            </w:pPr>
            <w:r>
              <w:t xml:space="preserve">0.561</w:t>
            </w:r>
          </w:p>
        </w:tc>
        <w:tc>
          <w:tcPr/>
          <w:p>
            <w:pPr>
              <w:pStyle w:val="Compact"/>
              <w:jc w:val="center"/>
            </w:pPr>
            <w:r>
              <w:t xml:space="preserve">0.562</w:t>
            </w:r>
          </w:p>
        </w:tc>
        <w:tc>
          <w:tcPr/>
          <w:p>
            <w:pPr>
              <w:pStyle w:val="Compact"/>
              <w:jc w:val="center"/>
            </w:pPr>
            <w:r>
              <w:t xml:space="preserve">0.508</w:t>
            </w:r>
          </w:p>
        </w:tc>
      </w:tr>
      <w:tr>
        <w:tc>
          <w:tcPr/>
          <w:p>
            <w:pPr>
              <w:pStyle w:val="Compact"/>
              <w:jc w:val="left"/>
            </w:pPr>
            <w:r>
              <w:t xml:space="preserve">PenDigits</w:t>
            </w:r>
          </w:p>
        </w:tc>
        <w:tc>
          <w:tcPr/>
          <w:p>
            <w:pPr>
              <w:pStyle w:val="Compact"/>
              <w:jc w:val="center"/>
            </w:pPr>
            <m:oMath>
              <m:r>
                <m:rPr>
                  <m:sty m:val="b"/>
                </m:rPr>
                <m:t>0.811</m:t>
              </m:r>
            </m:oMath>
          </w:p>
        </w:tc>
        <w:tc>
          <w:tcPr/>
          <w:p>
            <w:pPr>
              <w:pStyle w:val="Compact"/>
              <w:jc w:val="center"/>
            </w:pPr>
            <w:r>
              <w:t xml:space="preserve">0.778</w:t>
            </w:r>
          </w:p>
        </w:tc>
        <w:tc>
          <w:tcPr/>
          <w:p>
            <w:pPr>
              <w:pStyle w:val="Compact"/>
              <w:jc w:val="center"/>
            </w:pPr>
            <w:r>
              <w:t xml:space="preserve">0.551</w:t>
            </w:r>
          </w:p>
        </w:tc>
        <w:tc>
          <w:tcPr/>
          <w:p>
            <w:pPr>
              <w:pStyle w:val="Compact"/>
              <w:jc w:val="center"/>
            </w:pPr>
            <w:r>
              <w:t xml:space="preserve">0.551</w:t>
            </w:r>
          </w:p>
        </w:tc>
        <w:tc>
          <w:tcPr/>
          <w:p>
            <w:pPr>
              <w:pStyle w:val="Compact"/>
              <w:jc w:val="center"/>
            </w:pPr>
            <w:r>
              <w:t xml:space="preserve">0.561</w:t>
            </w:r>
          </w:p>
        </w:tc>
      </w:tr>
      <w:tr>
        <w:tc>
          <w:tcPr/>
          <w:p>
            <w:pPr>
              <w:pStyle w:val="Compact"/>
              <w:jc w:val="left"/>
            </w:pPr>
            <w:r>
              <w:rPr>
                <w:b/>
                <w:bCs/>
              </w:rPr>
              <w:t xml:space="preserve">Mean</w:t>
            </w:r>
          </w:p>
        </w:tc>
        <w:tc>
          <w:tcPr/>
          <w:p>
            <w:pPr>
              <w:pStyle w:val="Compact"/>
              <w:jc w:val="center"/>
            </w:pPr>
            <w:r>
              <w:t xml:space="preserve">0.623</w:t>
            </w:r>
          </w:p>
        </w:tc>
        <w:tc>
          <w:tcPr/>
          <w:p>
            <w:pPr>
              <w:pStyle w:val="Compact"/>
              <w:jc w:val="center"/>
            </w:pPr>
            <m:oMath>
              <m:r>
                <m:rPr>
                  <m:sty m:val="b"/>
                </m:rPr>
                <m:t>0.642</m:t>
              </m:r>
            </m:oMath>
          </w:p>
        </w:tc>
        <w:tc>
          <w:tcPr/>
          <w:p>
            <w:pPr>
              <w:pStyle w:val="Compact"/>
              <w:jc w:val="center"/>
            </w:pPr>
            <w:r>
              <w:t xml:space="preserve">0.481</w:t>
            </w:r>
          </w:p>
        </w:tc>
        <w:tc>
          <w:tcPr/>
          <w:p>
            <w:pPr>
              <w:pStyle w:val="Compact"/>
              <w:jc w:val="center"/>
            </w:pPr>
            <w:r>
              <w:t xml:space="preserve">0.481</w:t>
            </w:r>
          </w:p>
        </w:tc>
        <w:tc>
          <w:tcPr/>
          <w:p>
            <w:pPr>
              <w:pStyle w:val="Compact"/>
              <w:jc w:val="center"/>
            </w:pPr>
            <w:r>
              <w:t xml:space="preserve">0.470</w:t>
            </w:r>
          </w:p>
        </w:tc>
      </w:tr>
    </w:tbl>
    <w:bookmarkEnd w:id="71"/>
    <w:p>
      <w:pPr>
        <w:pStyle w:val="BodyText"/>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These</w:t>
      </w:r>
      <w:r>
        <w:t xml:space="preserve"> </w:t>
      </w:r>
      <w:r>
        <w:t xml:space="preserve">are all established baselines, so two very recent methods test whether the same</w:t>
      </w:r>
      <w:r>
        <w:t xml:space="preserve"> </w:t>
      </w:r>
      <w:r>
        <w:t xml:space="preserve">standing holds against the current state of the art.</w:t>
      </w:r>
    </w:p>
    <w:bookmarkEnd w:id="72"/>
    <w:bookmarkStart w:id="74" w:name="comparison-with-recent-methods"/>
    <w:p>
      <w:pPr>
        <w:pStyle w:val="Heading2"/>
      </w:pPr>
      <w:r>
        <w:t xml:space="preserve">Comparison with Recent Methods</w:t>
      </w:r>
    </w:p>
    <w:p>
      <w:pPr>
        <w:pStyle w:val="FirstParagraph"/>
      </w:pPr>
      <w:r>
        <w:t xml:space="preserve">We additionally compare against two recent clustering methods: DPC-AKNN [17], a 2026 density-peak method with adaptive KNN and geodesic distance, and PRCut [34],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 Whether this standing survives on metrics beyond ARI is the next check.</w:t>
      </w:r>
    </w:p>
    <w:bookmarkStart w:id="73" w:name="tab:recent"/>
    <w:p>
      <w:pPr>
        <w:pStyle w:val="TableCaption"/>
      </w:pP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t xml:space="preserve"> </w:t>
      </w:r>
      <m:oMath>
        <m:r>
          <m:t>O</m:t>
        </m:r>
        <m:r>
          <m:rPr>
            <m:sty m:val="p"/>
          </m:rPr>
          <m:t>(</m:t>
        </m:r>
        <m:sSup>
          <m:e>
            <m:r>
              <m:t>n</m:t>
            </m:r>
          </m:e>
          <m:sup>
            <m:r>
              <m:t>3</m:t>
            </m:r>
          </m:sup>
        </m:sSup>
        <m:r>
          <m:rPr>
            <m:sty m:val="p"/>
          </m:rPr>
          <m:t>)</m:t>
        </m:r>
      </m:oMath>
      <w:r>
        <w:t xml:space="preserve"> </w:t>
      </w:r>
      <w:r>
        <w:t xml:space="preserve">cost). Our label-free method is on par with PRCut and N2D and well above DPC-AKNN, without being told</w:t>
      </w:r>
      <w:r>
        <w:t xml:space="preserve"> </w:t>
      </w:r>
      <m:oMath>
        <m:r>
          <m:t>C</m:t>
        </m:r>
      </m:oMath>
      <w:r>
        <w:t xml:space="preserve">.</w:t>
      </w:r>
    </w:p>
    <w:tbl>
      <w:tblPr>
        <w:tblStyle w:val="Table"/>
        <w:tblW w:type="auto" w:w="0"/>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Representation</w:t>
            </w:r>
          </w:p>
        </w:tc>
        <w:tc>
          <w:tcPr/>
          <w:p>
            <w:pPr>
              <w:pStyle w:val="Compact"/>
              <w:jc w:val="center"/>
            </w:pPr>
            <w:r>
              <w:t xml:space="preserve">Given</w:t>
            </w:r>
            <w:r>
              <w:t xml:space="preserve"> </w:t>
            </w:r>
            <m:oMath>
              <m:r>
                <m:t>C</m:t>
              </m:r>
            </m:oMath>
            <w:r>
              <w:t xml:space="preserve">?</w:t>
            </w:r>
          </w:p>
        </w:tc>
        <w:tc>
          <w:tcPr/>
          <w:p>
            <w:pPr>
              <w:pStyle w:val="Compact"/>
              <w:jc w:val="center"/>
            </w:pPr>
            <w:r>
              <w:t xml:space="preserve">Mean ARI</w:t>
            </w:r>
          </w:p>
        </w:tc>
      </w:tr>
      <w:tr>
        <w:tc>
          <w:tcPr/>
          <w:p>
            <w:pPr>
              <w:pStyle w:val="Compact"/>
              <w:jc w:val="left"/>
            </w:pPr>
            <w:r>
              <w:rPr>
                <w:b/>
                <w:bCs/>
              </w:rPr>
              <w:t xml:space="preserve">DEAC gate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rPr>
                <w:b/>
                <w:bCs/>
              </w:rPr>
              <w:t xml:space="preserve">0.623</w:t>
            </w:r>
          </w:p>
        </w:tc>
      </w:tr>
      <w:tr>
        <w:tc>
          <w:tcPr/>
          <w:p>
            <w:pPr>
              <w:pStyle w:val="Compact"/>
              <w:jc w:val="left"/>
            </w:pPr>
            <w:r>
              <w:t xml:space="preserve">EMR-CGC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t xml:space="preserve">0.631</w:t>
            </w:r>
          </w:p>
        </w:tc>
      </w:tr>
      <w:tr>
        <w:tc>
          <w:tcPr/>
          <w:p>
            <w:pPr>
              <w:pStyle w:val="Compact"/>
              <w:jc w:val="left"/>
            </w:pPr>
            <w:r>
              <w:t xml:space="preserve">PRCut (2025) [34]</w:t>
            </w:r>
          </w:p>
        </w:tc>
        <w:tc>
          <w:tcPr/>
          <w:p>
            <w:pPr>
              <w:pStyle w:val="Compact"/>
              <w:jc w:val="left"/>
            </w:pPr>
            <w:r>
              <w:t xml:space="preserve">common UMAP</w:t>
            </w:r>
          </w:p>
        </w:tc>
        <w:tc>
          <w:tcPr/>
          <w:p>
            <w:pPr>
              <w:pStyle w:val="Compact"/>
              <w:jc w:val="center"/>
            </w:pPr>
            <w:r>
              <w:t xml:space="preserve">yes</w:t>
            </w:r>
          </w:p>
        </w:tc>
        <w:tc>
          <w:tcPr/>
          <w:p>
            <w:pPr>
              <w:pStyle w:val="Compact"/>
              <w:jc w:val="center"/>
            </w:pPr>
            <w:r>
              <w:t xml:space="preserve">0.631</w:t>
            </w:r>
          </w:p>
        </w:tc>
      </w:tr>
      <w:tr>
        <w:tc>
          <w:tcPr/>
          <w:p>
            <w:pPr>
              <w:pStyle w:val="Compact"/>
              <w:jc w:val="left"/>
            </w:pPr>
            <w:r>
              <w:t xml:space="preserve">DPC-AKNN (2026) [17]</w:t>
            </w:r>
          </w:p>
        </w:tc>
        <w:tc>
          <w:tcPr/>
          <w:p>
            <w:pPr>
              <w:pStyle w:val="Compact"/>
              <w:jc w:val="left"/>
            </w:pPr>
            <w:r>
              <w:t xml:space="preserve">native (raw+geodesic)</w:t>
            </w:r>
          </w:p>
        </w:tc>
        <w:tc>
          <w:tcPr/>
          <w:p>
            <w:pPr>
              <w:pStyle w:val="Compact"/>
              <w:jc w:val="center"/>
            </w:pPr>
            <w:r>
              <w:t xml:space="preserve">yes</w:t>
            </w:r>
          </w:p>
        </w:tc>
        <w:tc>
          <w:tcPr/>
          <w:p>
            <w:pPr>
              <w:pStyle w:val="Compact"/>
              <w:jc w:val="center"/>
            </w:pPr>
            <w:r>
              <w:t xml:space="preserve">0.420</w:t>
            </w:r>
          </w:p>
        </w:tc>
      </w:tr>
      <w:tr>
        <w:tc>
          <w:tcPr/>
          <w:p>
            <w:pPr>
              <w:pStyle w:val="Compact"/>
              <w:jc w:val="left"/>
            </w:pPr>
            <w:r>
              <w:t xml:space="preserve">N2D (deep) [28]</w:t>
            </w:r>
          </w:p>
        </w:tc>
        <w:tc>
          <w:tcPr/>
          <w:p>
            <w:pPr>
              <w:pStyle w:val="Compact"/>
              <w:jc w:val="left"/>
            </w:pPr>
            <w:r>
              <w:t xml:space="preserve">autoencoder+UMAP</w:t>
            </w:r>
          </w:p>
        </w:tc>
        <w:tc>
          <w:tcPr/>
          <w:p>
            <w:pPr>
              <w:pStyle w:val="Compact"/>
              <w:jc w:val="center"/>
            </w:pPr>
            <w:r>
              <w:t xml:space="preserve">yes</w:t>
            </w:r>
          </w:p>
        </w:tc>
        <w:tc>
          <w:tcPr/>
          <w:p>
            <w:pPr>
              <w:pStyle w:val="Compact"/>
              <w:jc w:val="center"/>
            </w:pPr>
            <w:r>
              <w:t xml:space="preserve">0.642</w:t>
            </w:r>
          </w:p>
        </w:tc>
      </w:tr>
      <w:tr>
        <w:tc>
          <w:tcPr/>
          <w:p>
            <w:pPr>
              <w:pStyle w:val="Compact"/>
              <w:jc w:val="left"/>
            </w:pPr>
            <w:r>
              <w:rPr>
                <w:i/>
                <w:iCs/>
              </w:rPr>
              <w:t xml:space="preserve">Oracle (upper bound)</w:t>
            </w:r>
          </w:p>
        </w:tc>
        <w:tc>
          <w:tcPr/>
          <w:p>
            <w:pPr>
              <w:pStyle w:val="Compact"/>
              <w:jc w:val="left"/>
            </w:pPr>
            <w:r>
              <w:t xml:space="preserve">—</w:t>
            </w:r>
          </w:p>
        </w:tc>
        <w:tc>
          <w:tcPr/>
          <w:p>
            <w:pPr>
              <w:pStyle w:val="Compact"/>
              <w:jc w:val="center"/>
            </w:pPr>
            <w:r>
              <w:t xml:space="preserve">uses labels</w:t>
            </w:r>
          </w:p>
        </w:tc>
        <w:tc>
          <w:tcPr/>
          <w:p>
            <w:pPr>
              <w:pStyle w:val="Compact"/>
              <w:jc w:val="center"/>
            </w:pPr>
            <w:r>
              <w:rPr>
                <w:i/>
                <w:iCs/>
              </w:rPr>
              <w:t xml:space="preserve">0.646</w:t>
            </w:r>
          </w:p>
        </w:tc>
      </w:tr>
    </w:tbl>
    <w:bookmarkEnd w:id="73"/>
    <w:bookmarkEnd w:id="74"/>
    <w:bookmarkStart w:id="87" w:name="multi-metric-comparison"/>
    <w:p>
      <w:pPr>
        <w:pStyle w:val="Heading2"/>
      </w:pPr>
      <w:r>
        <w:t xml:space="preserve">Multi-Metric Comparison</w:t>
      </w:r>
    </w:p>
    <w:p>
      <w:pPr>
        <w:pStyle w:val="FirstParagrap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NMI breakdown appears in Table </w:t>
      </w:r>
      <w:hyperlink w:anchor="tab:nmi_per_dataset">
        <w:r>
          <w:rPr>
            <w:rStyle w:val="Hyperlink"/>
          </w:rPr>
          <w:t xml:space="preserve">10</w:t>
        </w:r>
      </w:hyperlink>
      <w:r>
        <w:t xml:space="preserve"> </w:t>
      </w:r>
      <w:r>
        <w:t xml:space="preserve">and the per-dataset ACC breakdown in Table </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pPr>
      <w:r>
        <w:t xml:space="preserve">Mean ARI/NMI/ACC across 12 datasets (5 seeds). DEAC is the deployable gate; the oracle row is a diagnostic upper bound.</w:t>
      </w:r>
    </w:p>
    <w:tbl>
      <w:tblPr>
        <w:tblStyle w:val="Table"/>
        <w:tblW w:type="auto" w:w="0"/>
        <w:tblLook w:firstRow="1" w:lastRow="0" w:firstColumn="0" w:lastColumn="0" w:noHBand="0" w:noVBand="0" w:val="0020"/>
        <w:tblCaption w:val="Mean ARI/NMI/ACC across 12 datasets (5 seeds). DEAC is the deployable gate; the oracle row is a diagnostic upper bound."/>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Mean ARI</w:t>
            </w:r>
          </w:p>
        </w:tc>
        <w:tc>
          <w:tcPr/>
          <w:p>
            <w:pPr>
              <w:pStyle w:val="Compact"/>
              <w:jc w:val="center"/>
            </w:pPr>
            <w:r>
              <w:t xml:space="preserve">Mean NMI</w:t>
            </w:r>
          </w:p>
        </w:tc>
        <w:tc>
          <w:tcPr/>
          <w:p>
            <w:pPr>
              <w:pStyle w:val="Compact"/>
              <w:jc w:val="center"/>
            </w:pPr>
            <w:r>
              <w:t xml:space="preserve">Mean ACC</w:t>
            </w:r>
          </w:p>
        </w:tc>
      </w:tr>
      <w:tr>
        <w:tc>
          <w:tcPr/>
          <w:p>
            <w:pPr>
              <w:pStyle w:val="Compact"/>
              <w:jc w:val="left"/>
            </w:pPr>
            <w:r>
              <w:t xml:space="preserve">Baseline (UMAP)</w:t>
            </w:r>
          </w:p>
        </w:tc>
        <w:tc>
          <w:tcPr/>
          <w:p>
            <w:pPr>
              <w:pStyle w:val="Compact"/>
              <w:jc w:val="center"/>
            </w:pPr>
            <w:r>
              <w:t xml:space="preserve">0.580</w:t>
            </w:r>
          </w:p>
        </w:tc>
        <w:tc>
          <w:tcPr/>
          <w:p>
            <w:pPr>
              <w:pStyle w:val="Compact"/>
              <w:jc w:val="center"/>
            </w:pPr>
            <w:r>
              <w:t xml:space="preserve">0.720</w:t>
            </w:r>
          </w:p>
        </w:tc>
        <w:tc>
          <w:tcPr/>
          <w:p>
            <w:pPr>
              <w:pStyle w:val="Compact"/>
              <w:jc w:val="center"/>
            </w:pPr>
            <w:r>
              <w:t xml:space="preserve">0.675</w:t>
            </w:r>
          </w:p>
        </w:tc>
      </w:tr>
      <w:tr>
        <w:tc>
          <w:tcPr/>
          <w:p>
            <w:pPr>
              <w:pStyle w:val="Compact"/>
              <w:jc w:val="left"/>
            </w:pPr>
            <w:r>
              <w:t xml:space="preserve">AMR-DE</w:t>
            </w:r>
          </w:p>
        </w:tc>
        <w:tc>
          <w:tcPr/>
          <w:p>
            <w:pPr>
              <w:pStyle w:val="Compact"/>
              <w:jc w:val="center"/>
            </w:pPr>
            <w:r>
              <w:t xml:space="preserve">0.563</w:t>
            </w:r>
          </w:p>
        </w:tc>
        <w:tc>
          <w:tcPr/>
          <w:p>
            <w:pPr>
              <w:pStyle w:val="Compact"/>
              <w:jc w:val="center"/>
            </w:pPr>
            <w:r>
              <w:t xml:space="preserve">0.727</w:t>
            </w:r>
          </w:p>
        </w:tc>
        <w:tc>
          <w:tcPr/>
          <w:p>
            <w:pPr>
              <w:pStyle w:val="Compact"/>
              <w:jc w:val="center"/>
            </w:pPr>
            <w:r>
              <w:t xml:space="preserve">0.623</w:t>
            </w:r>
          </w:p>
        </w:tc>
      </w:tr>
      <w:tr>
        <w:tc>
          <w:tcPr/>
          <w:p>
            <w:pPr>
              <w:pStyle w:val="Compact"/>
              <w:jc w:val="left"/>
            </w:pPr>
            <w:r>
              <w:t xml:space="preserve">EMR-CGC</w:t>
            </w:r>
          </w:p>
        </w:tc>
        <w:tc>
          <w:tcPr/>
          <w:p>
            <w:pPr>
              <w:pStyle w:val="Compact"/>
              <w:jc w:val="center"/>
            </w:pPr>
            <w:r>
              <w:t xml:space="preserve">0.631</w:t>
            </w:r>
          </w:p>
        </w:tc>
        <w:tc>
          <w:tcPr/>
          <w:p>
            <w:pPr>
              <w:pStyle w:val="Compact"/>
              <w:jc w:val="center"/>
            </w:pPr>
            <w:r>
              <w:t xml:space="preserve">0.760</w:t>
            </w:r>
          </w:p>
        </w:tc>
        <w:tc>
          <w:tcPr/>
          <w:p>
            <w:pPr>
              <w:pStyle w:val="Compact"/>
              <w:jc w:val="center"/>
            </w:pPr>
            <w:r>
              <w:t xml:space="preserve">0.708</w:t>
            </w:r>
          </w:p>
        </w:tc>
      </w:tr>
      <w:tr>
        <w:tc>
          <w:tcPr/>
          <w:p>
            <w:pPr>
              <w:pStyle w:val="Compact"/>
              <w:jc w:val="left"/>
            </w:pPr>
            <w:r>
              <w:rPr>
                <w:b/>
                <w:bCs/>
              </w:rPr>
              <w:t xml:space="preserve">DEAC (gate)</w:t>
            </w:r>
          </w:p>
        </w:tc>
        <w:tc>
          <w:tcPr/>
          <w:p>
            <w:pPr>
              <w:pStyle w:val="Compact"/>
              <w:jc w:val="center"/>
            </w:pPr>
            <w:r>
              <w:rPr>
                <w:b/>
                <w:bCs/>
              </w:rPr>
              <w:t xml:space="preserve">0.623</w:t>
            </w:r>
          </w:p>
        </w:tc>
        <w:tc>
          <w:tcPr/>
          <w:p>
            <w:pPr>
              <w:pStyle w:val="Compact"/>
              <w:jc w:val="center"/>
            </w:pPr>
            <w:r>
              <w:rPr>
                <w:b/>
                <w:bCs/>
              </w:rPr>
              <w:t xml:space="preserve">0.753</w:t>
            </w:r>
          </w:p>
        </w:tc>
        <w:tc>
          <w:tcPr/>
          <w:p>
            <w:pPr>
              <w:pStyle w:val="Compact"/>
              <w:jc w:val="center"/>
            </w:pPr>
            <w:r>
              <w:rPr>
                <w:b/>
                <w:bCs/>
              </w:rPr>
              <w:t xml:space="preserve">0.699</w:t>
            </w:r>
          </w:p>
        </w:tc>
      </w:tr>
      <w:tr>
        <w:tc>
          <w:tcPr/>
          <w:p>
            <w:pPr>
              <w:pStyle w:val="Compact"/>
              <w:jc w:val="left"/>
            </w:pPr>
            <w:r>
              <w:rPr>
                <w:i/>
                <w:iCs/>
              </w:rPr>
              <w:t xml:space="preserve">Oracle (upper bnd)</w:t>
            </w:r>
          </w:p>
        </w:tc>
        <w:tc>
          <w:tcPr/>
          <w:p>
            <w:pPr>
              <w:pStyle w:val="Compact"/>
              <w:jc w:val="center"/>
            </w:pPr>
            <w:r>
              <w:t xml:space="preserve">0.646</w:t>
            </w:r>
          </w:p>
        </w:tc>
        <w:tc>
          <w:tcPr/>
          <w:p>
            <w:pPr>
              <w:pStyle w:val="Compact"/>
              <w:jc w:val="center"/>
            </w:pPr>
            <w:r>
              <w:t xml:space="preserve">0.762</w:t>
            </w:r>
          </w:p>
        </w:tc>
        <w:tc>
          <w:tcPr/>
          <w:p>
            <w:pPr>
              <w:pStyle w:val="Compact"/>
              <w:jc w:val="center"/>
            </w:pPr>
            <w:r>
              <w:t xml:space="preserve">0.720</w:t>
            </w:r>
          </w:p>
        </w:tc>
      </w:tr>
      <w:tr>
        <w:tc>
          <w:tcPr/>
          <w:p>
            <w:pPr>
              <w:pStyle w:val="Compact"/>
              <w:jc w:val="left"/>
            </w:pPr>
            <w:r>
              <w:t xml:space="preserve">KMeans</w:t>
            </w:r>
          </w:p>
        </w:tc>
        <w:tc>
          <w:tcPr/>
          <w:p>
            <w:pPr>
              <w:pStyle w:val="Compact"/>
              <w:jc w:val="center"/>
            </w:pPr>
            <w:r>
              <w:t xml:space="preserve">0.539</w:t>
            </w:r>
          </w:p>
        </w:tc>
        <w:tc>
          <w:tcPr/>
          <w:p>
            <w:pPr>
              <w:pStyle w:val="Compact"/>
              <w:jc w:val="center"/>
            </w:pPr>
            <w:r>
              <w:t xml:space="preserve">0.691</w:t>
            </w:r>
          </w:p>
        </w:tc>
        <w:tc>
          <w:tcPr/>
          <w:p>
            <w:pPr>
              <w:pStyle w:val="Compact"/>
              <w:jc w:val="center"/>
            </w:pPr>
            <w:r>
              <w:t xml:space="preserve">0.633</w:t>
            </w:r>
          </w:p>
        </w:tc>
      </w:tr>
      <w:tr>
        <w:tc>
          <w:tcPr/>
          <w:p>
            <w:pPr>
              <w:pStyle w:val="Compact"/>
              <w:jc w:val="left"/>
            </w:pPr>
            <w:r>
              <w:t xml:space="preserve">Spectral</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0.454</w:t>
            </w:r>
          </w:p>
        </w:tc>
      </w:tr>
      <w:tr>
        <w:tc>
          <w:tcPr/>
          <w:p>
            <w:pPr>
              <w:pStyle w:val="Compact"/>
              <w:jc w:val="left"/>
            </w:pPr>
            <w:r>
              <w:t xml:space="preserve">Agglomerative</w:t>
            </w:r>
          </w:p>
        </w:tc>
        <w:tc>
          <w:tcPr/>
          <w:p>
            <w:pPr>
              <w:pStyle w:val="Compact"/>
              <w:jc w:val="center"/>
            </w:pPr>
            <w:r>
              <w:t xml:space="preserve">0.537</w:t>
            </w:r>
          </w:p>
        </w:tc>
        <w:tc>
          <w:tcPr/>
          <w:p>
            <w:pPr>
              <w:pStyle w:val="Compact"/>
              <w:jc w:val="center"/>
            </w:pPr>
            <w:r>
              <w:t xml:space="preserve">0.692</w:t>
            </w:r>
          </w:p>
        </w:tc>
        <w:tc>
          <w:tcPr/>
          <w:p>
            <w:pPr>
              <w:pStyle w:val="Compact"/>
              <w:jc w:val="center"/>
            </w:pPr>
            <w:r>
              <w:t xml:space="preserve">0.635</w:t>
            </w:r>
          </w:p>
        </w:tc>
      </w:tr>
      <w:tr>
        <w:tc>
          <w:tcPr/>
          <w:p>
            <w:pPr>
              <w:pStyle w:val="Compact"/>
              <w:jc w:val="left"/>
            </w:pPr>
            <w:r>
              <w:t xml:space="preserve">GMM</w:t>
            </w:r>
          </w:p>
        </w:tc>
        <w:tc>
          <w:tcPr/>
          <w:p>
            <w:pPr>
              <w:pStyle w:val="Compact"/>
              <w:jc w:val="center"/>
            </w:pPr>
            <w:r>
              <w:t xml:space="preserve">0.546</w:t>
            </w:r>
          </w:p>
        </w:tc>
        <w:tc>
          <w:tcPr/>
          <w:p>
            <w:pPr>
              <w:pStyle w:val="Compact"/>
              <w:jc w:val="center"/>
            </w:pPr>
            <w:r>
              <w:t xml:space="preserve">0.691</w:t>
            </w:r>
          </w:p>
        </w:tc>
        <w:tc>
          <w:tcPr/>
          <w:p>
            <w:pPr>
              <w:pStyle w:val="Compact"/>
              <w:jc w:val="center"/>
            </w:pPr>
            <w:r>
              <w:t xml:space="preserve">0.636</w:t>
            </w:r>
          </w:p>
        </w:tc>
      </w:tr>
      <w:tr>
        <w:tc>
          <w:tcPr/>
          <w:p>
            <w:pPr>
              <w:pStyle w:val="Compact"/>
              <w:jc w:val="left"/>
            </w:pPr>
            <w:r>
              <w:t xml:space="preserve">HDBSCAN</w:t>
            </w:r>
          </w:p>
        </w:tc>
        <w:tc>
          <w:tcPr/>
          <w:p>
            <w:pPr>
              <w:pStyle w:val="Compact"/>
              <w:jc w:val="center"/>
            </w:pPr>
            <w:r>
              <w:t xml:space="preserve">0.515</w:t>
            </w:r>
          </w:p>
        </w:tc>
        <w:tc>
          <w:tcPr/>
          <w:p>
            <w:pPr>
              <w:pStyle w:val="Compact"/>
              <w:jc w:val="center"/>
            </w:pPr>
            <w:r>
              <w:t xml:space="preserve">0.696</w:t>
            </w:r>
          </w:p>
        </w:tc>
        <w:tc>
          <w:tcPr/>
          <w:p>
            <w:pPr>
              <w:pStyle w:val="Compact"/>
              <w:jc w:val="center"/>
            </w:pPr>
            <w:r>
              <w:t xml:space="preserve">0.613</w:t>
            </w:r>
          </w:p>
        </w:tc>
      </w:tr>
    </w:tbl>
    <w:bookmarkEnd w:id="75"/>
    <w:bookmarkStart w:id="76" w:name="tab:nmi_per_dataset"/>
    <w:p>
      <w:pPr>
        <w:pStyle w:val="TableCaption"/>
      </w:pPr>
      <w:r>
        <w:t xml:space="preserve">Per-dataset NMI (mean over 5 seeds). DEAC is the deployable gate.</w:t>
      </w:r>
    </w:p>
    <w:tbl>
      <w:tblPr>
        <w:tblStyle w:val="Table"/>
        <w:tblW w:type="auto" w:w="0"/>
        <w:tblLook w:firstRow="1" w:lastRow="0" w:firstColumn="0" w:lastColumn="0" w:noHBand="0" w:noVBand="0" w:val="0020"/>
        <w:tblCaption w:val="Per-dataset NMI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0.795</m:t>
              </m:r>
            </m:oMath>
          </w:p>
        </w:tc>
        <w:tc>
          <w:tcPr/>
          <w:p>
            <w:pPr>
              <w:pStyle w:val="Compact"/>
              <w:jc w:val="center"/>
            </w:pPr>
            <w:r>
              <w:t xml:space="preserve">0.774</w:t>
            </w:r>
          </w:p>
        </w:tc>
        <w:tc>
          <w:tcPr/>
          <w:p>
            <w:pPr>
              <w:pStyle w:val="Compact"/>
              <w:jc w:val="center"/>
            </w:pPr>
            <w:r>
              <w:t xml:space="preserve">0.791</w:t>
            </w:r>
          </w:p>
        </w:tc>
        <w:tc>
          <w:tcPr/>
          <w:p>
            <w:pPr>
              <w:pStyle w:val="Compact"/>
              <w:jc w:val="center"/>
            </w:pPr>
            <w:r>
              <w:t xml:space="preserve">0.787</w:t>
            </w:r>
          </w:p>
        </w:tc>
      </w:tr>
      <w:tr>
        <w:tc>
          <w:tcPr/>
          <w:p>
            <w:pPr>
              <w:pStyle w:val="Compact"/>
              <w:jc w:val="left"/>
            </w:pPr>
            <w:r>
              <w:t xml:space="preserve">Glass</w:t>
            </w:r>
          </w:p>
        </w:tc>
        <w:tc>
          <w:tcPr/>
          <w:p>
            <w:pPr>
              <w:pStyle w:val="Compact"/>
              <w:jc w:val="center"/>
            </w:pPr>
            <w:r>
              <w:t xml:space="preserve">0.245</w:t>
            </w:r>
          </w:p>
        </w:tc>
        <w:tc>
          <w:tcPr/>
          <w:p>
            <w:pPr>
              <w:pStyle w:val="Compact"/>
              <w:jc w:val="center"/>
            </w:pPr>
            <m:oMath>
              <m:r>
                <m:rPr>
                  <m:sty m:val="b"/>
                </m:rPr>
                <m:t>0.359</m:t>
              </m:r>
            </m:oMath>
          </w:p>
        </w:tc>
        <w:tc>
          <w:tcPr/>
          <w:p>
            <w:pPr>
              <w:pStyle w:val="Compact"/>
              <w:jc w:val="center"/>
            </w:pPr>
            <w:r>
              <w:t xml:space="preserve">0.352</w:t>
            </w:r>
          </w:p>
        </w:tc>
        <w:tc>
          <w:tcPr/>
          <w:p>
            <w:pPr>
              <w:pStyle w:val="Compact"/>
              <w:jc w:val="center"/>
            </w:pPr>
            <w:r>
              <w:t xml:space="preserve">0.355</w:t>
            </w:r>
          </w:p>
        </w:tc>
      </w:tr>
      <w:tr>
        <w:tc>
          <w:tcPr/>
          <w:p>
            <w:pPr>
              <w:pStyle w:val="Compact"/>
              <w:jc w:val="left"/>
            </w:pPr>
            <w:r>
              <w:t xml:space="preserve">Olivetti</w:t>
            </w:r>
          </w:p>
        </w:tc>
        <w:tc>
          <w:tcPr/>
          <w:p>
            <w:pPr>
              <w:pStyle w:val="Compact"/>
              <w:jc w:val="center"/>
            </w:pPr>
            <w:r>
              <w:t xml:space="preserve">0.421</w:t>
            </w:r>
          </w:p>
        </w:tc>
        <w:tc>
          <w:tcPr/>
          <w:p>
            <w:pPr>
              <w:pStyle w:val="Compact"/>
              <w:jc w:val="center"/>
            </w:pPr>
            <w:r>
              <w:t xml:space="preserve">0.648</w:t>
            </w:r>
          </w:p>
        </w:tc>
        <w:tc>
          <w:tcPr/>
          <w:p>
            <w:pPr>
              <w:pStyle w:val="Compact"/>
              <w:jc w:val="center"/>
            </w:pPr>
            <m:oMath>
              <m:r>
                <m:rPr>
                  <m:sty m:val="b"/>
                </m:rPr>
                <m:t>0.727</m:t>
              </m:r>
            </m:oMath>
          </w:p>
        </w:tc>
        <w:tc>
          <w:tcPr/>
          <w:p>
            <w:pPr>
              <w:pStyle w:val="Compact"/>
              <w:jc w:val="center"/>
            </w:pPr>
            <w:r>
              <w:t xml:space="preserve">0.648</w:t>
            </w:r>
          </w:p>
        </w:tc>
      </w:tr>
      <w:tr>
        <w:tc>
          <w:tcPr/>
          <w:p>
            <w:pPr>
              <w:pStyle w:val="Compact"/>
              <w:jc w:val="left"/>
            </w:pPr>
            <w:r>
              <w:t xml:space="preserve">CNAE-9</w:t>
            </w:r>
          </w:p>
        </w:tc>
        <w:tc>
          <w:tcPr/>
          <w:p>
            <w:pPr>
              <w:pStyle w:val="Compact"/>
              <w:jc w:val="center"/>
            </w:pPr>
            <w:r>
              <w:t xml:space="preserve">0.716</w:t>
            </w:r>
          </w:p>
        </w:tc>
        <w:tc>
          <w:tcPr/>
          <w:p>
            <w:pPr>
              <w:pStyle w:val="Compact"/>
              <w:jc w:val="center"/>
            </w:pPr>
            <w:r>
              <w:t xml:space="preserve">0.698</w:t>
            </w:r>
          </w:p>
        </w:tc>
        <w:tc>
          <w:tcPr/>
          <w:p>
            <w:pPr>
              <w:pStyle w:val="Compact"/>
              <w:jc w:val="center"/>
            </w:pPr>
            <w:r>
              <w:t xml:space="preserve">0.718</w:t>
            </w:r>
          </w:p>
        </w:tc>
        <w:tc>
          <w:tcPr/>
          <w:p>
            <w:pPr>
              <w:pStyle w:val="Compact"/>
              <w:jc w:val="center"/>
            </w:pPr>
            <m:oMath>
              <m:r>
                <m:rPr>
                  <m:sty m:val="b"/>
                </m:rPr>
                <m:t>0.722</m:t>
              </m:r>
            </m:oMath>
          </w:p>
        </w:tc>
      </w:tr>
      <w:tr>
        <w:tc>
          <w:tcPr/>
          <w:p>
            <w:pPr>
              <w:pStyle w:val="Compact"/>
              <w:jc w:val="left"/>
            </w:pPr>
            <w:r>
              <w:t xml:space="preserve">COIL-20</w:t>
            </w:r>
          </w:p>
        </w:tc>
        <w:tc>
          <w:tcPr/>
          <w:p>
            <w:pPr>
              <w:pStyle w:val="Compact"/>
              <w:jc w:val="center"/>
            </w:pPr>
            <w:r>
              <w:t xml:space="preserve">0.904</w:t>
            </w:r>
          </w:p>
        </w:tc>
        <w:tc>
          <w:tcPr/>
          <w:p>
            <w:pPr>
              <w:pStyle w:val="Compact"/>
              <w:jc w:val="center"/>
            </w:pPr>
            <w:r>
              <w:t xml:space="preserve">0.908</w:t>
            </w:r>
          </w:p>
        </w:tc>
        <w:tc>
          <w:tcPr/>
          <w:p>
            <w:pPr>
              <w:pStyle w:val="Compact"/>
              <w:jc w:val="center"/>
            </w:pPr>
            <m:oMath>
              <m:r>
                <m:rPr>
                  <m:sty m:val="b"/>
                </m:rPr>
                <m:t>0.919</m:t>
              </m:r>
            </m:oMath>
          </w:p>
        </w:tc>
        <w:tc>
          <w:tcPr/>
          <w:p>
            <w:pPr>
              <w:pStyle w:val="Compact"/>
              <w:jc w:val="center"/>
            </w:pPr>
            <m:oMath>
              <m:r>
                <m:rPr>
                  <m:sty m:val="b"/>
                </m:rPr>
                <m:t>0.919</m:t>
              </m:r>
            </m:oMath>
          </w:p>
        </w:tc>
      </w:tr>
      <w:tr>
        <w:tc>
          <w:tcPr/>
          <w:p>
            <w:pPr>
              <w:pStyle w:val="Compact"/>
              <w:jc w:val="left"/>
            </w:pPr>
            <w:r>
              <w:t xml:space="preserve">Optdigits</w:t>
            </w:r>
          </w:p>
        </w:tc>
        <w:tc>
          <w:tcPr/>
          <w:p>
            <w:pPr>
              <w:pStyle w:val="Compact"/>
              <w:jc w:val="center"/>
            </w:pPr>
            <m:oMath>
              <m:r>
                <m:rPr>
                  <m:sty m:val="b"/>
                </m:rPr>
                <m:t>0.889</m:t>
              </m:r>
            </m:oMath>
          </w:p>
        </w:tc>
        <w:tc>
          <w:tcPr/>
          <w:p>
            <w:pPr>
              <w:pStyle w:val="Compact"/>
              <w:jc w:val="center"/>
            </w:pPr>
            <w:r>
              <w:t xml:space="preserve">0.883</w:t>
            </w:r>
          </w:p>
        </w:tc>
        <w:tc>
          <w:tcPr/>
          <w:p>
            <w:pPr>
              <w:pStyle w:val="Compact"/>
              <w:jc w:val="center"/>
            </w:pPr>
            <w:r>
              <w:t xml:space="preserve">0.885</w:t>
            </w:r>
          </w:p>
        </w:tc>
        <w:tc>
          <w:tcPr/>
          <w:p>
            <w:pPr>
              <w:pStyle w:val="Compact"/>
              <w:jc w:val="center"/>
            </w:pPr>
            <w:r>
              <w:t xml:space="preserve">0.885</w:t>
            </w:r>
          </w:p>
        </w:tc>
      </w:tr>
      <w:tr>
        <w:tc>
          <w:tcPr/>
          <w:p>
            <w:pPr>
              <w:pStyle w:val="Compact"/>
              <w:jc w:val="left"/>
            </w:pPr>
            <w:r>
              <w:t xml:space="preserve">MFeat</w:t>
            </w:r>
          </w:p>
        </w:tc>
        <w:tc>
          <w:tcPr/>
          <w:p>
            <w:pPr>
              <w:pStyle w:val="Compact"/>
              <w:jc w:val="center"/>
            </w:pPr>
            <w:r>
              <w:t xml:space="preserve">0.930</w:t>
            </w:r>
          </w:p>
        </w:tc>
        <w:tc>
          <w:tcPr/>
          <w:p>
            <w:pPr>
              <w:pStyle w:val="Compact"/>
              <w:jc w:val="center"/>
            </w:pPr>
            <w:r>
              <w:t xml:space="preserve">0.916</w:t>
            </w:r>
          </w:p>
        </w:tc>
        <w:tc>
          <w:tcPr/>
          <w:p>
            <w:pPr>
              <w:pStyle w:val="Compact"/>
              <w:jc w:val="center"/>
            </w:pPr>
            <m:oMath>
              <m:r>
                <m:rPr>
                  <m:sty m:val="b"/>
                </m:rPr>
                <m:t>0.938</m:t>
              </m:r>
            </m:oMath>
          </w:p>
        </w:tc>
        <w:tc>
          <w:tcPr/>
          <w:p>
            <w:pPr>
              <w:pStyle w:val="Compact"/>
              <w:jc w:val="center"/>
            </w:pPr>
            <m:oMath>
              <m:r>
                <m:rPr>
                  <m:sty m:val="b"/>
                </m:rPr>
                <m:t>0.938</m:t>
              </m:r>
            </m:oMath>
          </w:p>
        </w:tc>
      </w:tr>
      <w:tr>
        <w:tc>
          <w:tcPr/>
          <w:p>
            <w:pPr>
              <w:pStyle w:val="Compact"/>
              <w:jc w:val="left"/>
            </w:pPr>
            <w:r>
              <w:t xml:space="preserve">Segment.</w:t>
            </w:r>
          </w:p>
        </w:tc>
        <w:tc>
          <w:tcPr/>
          <w:p>
            <w:pPr>
              <w:pStyle w:val="Compact"/>
              <w:jc w:val="center"/>
            </w:pPr>
            <m:oMath>
              <m:r>
                <m:rPr>
                  <m:sty m:val="b"/>
                </m:rPr>
                <m:t>0.628</m:t>
              </m:r>
            </m:oMath>
          </w:p>
        </w:tc>
        <w:tc>
          <w:tcPr/>
          <w:p>
            <w:pPr>
              <w:pStyle w:val="Compact"/>
              <w:jc w:val="center"/>
            </w:pPr>
            <w:r>
              <w:t xml:space="preserve">0.604</w:t>
            </w:r>
          </w:p>
        </w:tc>
        <w:tc>
          <w:tcPr/>
          <w:p>
            <w:pPr>
              <w:pStyle w:val="Compact"/>
              <w:jc w:val="center"/>
            </w:pPr>
            <w:r>
              <w:t xml:space="preserve">0.624</w:t>
            </w:r>
          </w:p>
        </w:tc>
        <w:tc>
          <w:tcPr/>
          <w:p>
            <w:pPr>
              <w:pStyle w:val="Compact"/>
              <w:jc w:val="center"/>
            </w:pPr>
            <w:r>
              <w:t xml:space="preserve">0.626</w:t>
            </w:r>
          </w:p>
        </w:tc>
      </w:tr>
      <w:tr>
        <w:tc>
          <w:tcPr/>
          <w:p>
            <w:pPr>
              <w:pStyle w:val="Compact"/>
              <w:jc w:val="left"/>
            </w:pPr>
            <w:r>
              <w:t xml:space="preserve">ISOLET</w:t>
            </w:r>
          </w:p>
        </w:tc>
        <w:tc>
          <w:tcPr/>
          <w:p>
            <w:pPr>
              <w:pStyle w:val="Compact"/>
              <w:jc w:val="center"/>
            </w:pPr>
            <w:r>
              <w:t xml:space="preserve">0.758</w:t>
            </w:r>
          </w:p>
        </w:tc>
        <w:tc>
          <w:tcPr/>
          <w:p>
            <w:pPr>
              <w:pStyle w:val="Compact"/>
              <w:jc w:val="center"/>
            </w:pPr>
            <w:r>
              <w:t xml:space="preserve">0.754</w:t>
            </w:r>
          </w:p>
        </w:tc>
        <w:tc>
          <w:tcPr/>
          <w:p>
            <w:pPr>
              <w:pStyle w:val="Compact"/>
              <w:jc w:val="center"/>
            </w:pPr>
            <m:oMath>
              <m:r>
                <m:rPr>
                  <m:sty m:val="b"/>
                </m:rPr>
                <m:t>0.768</m:t>
              </m:r>
            </m:oMath>
          </w:p>
        </w:tc>
        <w:tc>
          <w:tcPr/>
          <w:p>
            <w:pPr>
              <w:pStyle w:val="Compact"/>
              <w:jc w:val="center"/>
            </w:pPr>
            <w:r>
              <w:t xml:space="preserve">0.766</w:t>
            </w:r>
          </w:p>
        </w:tc>
      </w:tr>
      <w:tr>
        <w:tc>
          <w:tcPr/>
          <w:p>
            <w:pPr>
              <w:pStyle w:val="Compact"/>
              <w:jc w:val="left"/>
            </w:pPr>
            <w:r>
              <w:t xml:space="preserve">Satimage</w:t>
            </w:r>
          </w:p>
        </w:tc>
        <w:tc>
          <w:tcPr/>
          <w:p>
            <w:pPr>
              <w:pStyle w:val="Compact"/>
              <w:jc w:val="center"/>
            </w:pPr>
            <w:r>
              <w:t xml:space="preserve">0.614</w:t>
            </w:r>
          </w:p>
        </w:tc>
        <w:tc>
          <w:tcPr/>
          <w:p>
            <w:pPr>
              <w:pStyle w:val="Compact"/>
              <w:jc w:val="center"/>
            </w:pPr>
            <w:r>
              <w:t xml:space="preserve">0.556</w:t>
            </w:r>
          </w:p>
        </w:tc>
        <w:tc>
          <w:tcPr/>
          <w:p>
            <w:pPr>
              <w:pStyle w:val="Compact"/>
              <w:jc w:val="center"/>
            </w:pPr>
            <w:r>
              <w:t xml:space="preserve">0.631</w:t>
            </w:r>
          </w:p>
        </w:tc>
        <w:tc>
          <w:tcPr/>
          <w:p>
            <w:pPr>
              <w:pStyle w:val="Compact"/>
              <w:jc w:val="center"/>
            </w:pPr>
            <m:oMath>
              <m:r>
                <m:rPr>
                  <m:sty m:val="b"/>
                </m:rPr>
                <m:t>0.638</m:t>
              </m:r>
            </m:oMath>
          </w:p>
        </w:tc>
      </w:tr>
      <w:tr>
        <w:tc>
          <w:tcPr/>
          <w:p>
            <w:pPr>
              <w:pStyle w:val="Compact"/>
              <w:jc w:val="left"/>
            </w:pPr>
            <w:r>
              <w:t xml:space="preserve">USPS</w:t>
            </w:r>
          </w:p>
        </w:tc>
        <w:tc>
          <w:tcPr/>
          <w:p>
            <w:pPr>
              <w:pStyle w:val="Compact"/>
              <w:jc w:val="center"/>
            </w:pPr>
            <w:r>
              <w:t xml:space="preserve">0.879</w:t>
            </w:r>
          </w:p>
        </w:tc>
        <w:tc>
          <w:tcPr/>
          <w:p>
            <w:pPr>
              <w:pStyle w:val="Compact"/>
              <w:jc w:val="center"/>
            </w:pPr>
            <w:r>
              <w:t xml:space="preserve">0.808</w:t>
            </w:r>
          </w:p>
        </w:tc>
        <w:tc>
          <w:tcPr/>
          <w:p>
            <w:pPr>
              <w:pStyle w:val="Compact"/>
              <w:jc w:val="center"/>
            </w:pPr>
            <m:oMath>
              <m:r>
                <m:rPr>
                  <m:sty m:val="b"/>
                </m:rPr>
                <m:t>0.894</m:t>
              </m:r>
            </m:oMath>
          </w:p>
        </w:tc>
        <w:tc>
          <w:tcPr/>
          <w:p>
            <w:pPr>
              <w:pStyle w:val="Compact"/>
              <w:jc w:val="center"/>
            </w:pPr>
            <w:r>
              <w:t xml:space="preserve">0.884</w:t>
            </w:r>
          </w:p>
        </w:tc>
      </w:tr>
      <w:tr>
        <w:tc>
          <w:tcPr/>
          <w:p>
            <w:pPr>
              <w:pStyle w:val="Compact"/>
              <w:jc w:val="left"/>
            </w:pPr>
            <w:r>
              <w:t xml:space="preserve">PenDigits</w:t>
            </w:r>
          </w:p>
        </w:tc>
        <w:tc>
          <w:tcPr/>
          <w:p>
            <w:pPr>
              <w:pStyle w:val="Compact"/>
              <w:jc w:val="center"/>
            </w:pPr>
            <w:r>
              <w:t xml:space="preserve">0.857</w:t>
            </w:r>
          </w:p>
        </w:tc>
        <w:tc>
          <w:tcPr/>
          <w:p>
            <w:pPr>
              <w:pStyle w:val="Compact"/>
              <w:jc w:val="center"/>
            </w:pPr>
            <w:r>
              <w:t xml:space="preserve">0.812</w:t>
            </w:r>
          </w:p>
        </w:tc>
        <w:tc>
          <w:tcPr/>
          <w:p>
            <w:pPr>
              <w:pStyle w:val="Compact"/>
              <w:jc w:val="center"/>
            </w:pPr>
            <m:oMath>
              <m:r>
                <m:rPr>
                  <m:sty m:val="b"/>
                </m:rPr>
                <m:t>0.878</m:t>
              </m:r>
            </m:oMath>
          </w:p>
        </w:tc>
        <w:tc>
          <w:tcPr/>
          <w:p>
            <w:pPr>
              <w:pStyle w:val="Compact"/>
              <w:jc w:val="center"/>
            </w:pPr>
            <w:r>
              <w:t xml:space="preserve">0.876</w:t>
            </w:r>
          </w:p>
        </w:tc>
      </w:tr>
    </w:tbl>
    <w:bookmarkEnd w:id="76"/>
    <w:bookmarkStart w:id="77" w:name="tab:acc_per_dataset"/>
    <w:p>
      <w:pPr>
        <w:pStyle w:val="TableCaption"/>
      </w:pPr>
      <w:r>
        <w:t xml:space="preserve">Per-dataset ACC (mean over 5 seeds). DEAC is the deployable gate.</w:t>
      </w:r>
    </w:p>
    <w:tbl>
      <w:tblPr>
        <w:tblStyle w:val="Table"/>
        <w:tblW w:type="auto" w:w="0"/>
        <w:tblLook w:firstRow="1" w:lastRow="0" w:firstColumn="0" w:lastColumn="0" w:noHBand="0" w:noVBand="0" w:val="0020"/>
        <w:tblCaption w:val="Per-dataset ACC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0.933</m:t>
              </m:r>
            </m:oMath>
          </w:p>
        </w:tc>
        <w:tc>
          <w:tcPr/>
          <w:p>
            <w:pPr>
              <w:pStyle w:val="Compact"/>
              <w:jc w:val="center"/>
            </w:pPr>
            <w:r>
              <w:t xml:space="preserve">0.921</w:t>
            </w:r>
          </w:p>
        </w:tc>
        <w:tc>
          <w:tcPr/>
          <w:p>
            <w:pPr>
              <w:pStyle w:val="Compact"/>
              <w:jc w:val="center"/>
            </w:pPr>
            <w:r>
              <w:t xml:space="preserve">0.930</w:t>
            </w:r>
          </w:p>
        </w:tc>
        <w:tc>
          <w:tcPr/>
          <w:p>
            <w:pPr>
              <w:pStyle w:val="Compact"/>
              <w:jc w:val="center"/>
            </w:pPr>
            <w:r>
              <w:t xml:space="preserve">0.928</w:t>
            </w:r>
          </w:p>
        </w:tc>
      </w:tr>
      <w:tr>
        <w:tc>
          <w:tcPr/>
          <w:p>
            <w:pPr>
              <w:pStyle w:val="Compact"/>
              <w:jc w:val="left"/>
            </w:pPr>
            <w:r>
              <w:t xml:space="preserve">Glass</w:t>
            </w:r>
          </w:p>
        </w:tc>
        <w:tc>
          <w:tcPr/>
          <w:p>
            <w:pPr>
              <w:pStyle w:val="Compact"/>
              <w:jc w:val="center"/>
            </w:pPr>
            <m:oMath>
              <m:r>
                <m:rPr>
                  <m:sty m:val="b"/>
                </m:rPr>
                <m:t>0.489</m:t>
              </m:r>
            </m:oMath>
          </w:p>
        </w:tc>
        <w:tc>
          <w:tcPr/>
          <w:p>
            <w:pPr>
              <w:pStyle w:val="Compact"/>
              <w:jc w:val="center"/>
            </w:pPr>
            <w:r>
              <w:t xml:space="preserve">0.336</w:t>
            </w:r>
          </w:p>
        </w:tc>
        <w:tc>
          <w:tcPr/>
          <w:p>
            <w:pPr>
              <w:pStyle w:val="Compact"/>
              <w:jc w:val="center"/>
            </w:pPr>
            <w:r>
              <w:t xml:space="preserve">0.334</w:t>
            </w:r>
          </w:p>
        </w:tc>
        <w:tc>
          <w:tcPr/>
          <w:p>
            <w:pPr>
              <w:pStyle w:val="Compact"/>
              <w:jc w:val="center"/>
            </w:pPr>
            <w:r>
              <w:t xml:space="preserve">0.336</w:t>
            </w:r>
          </w:p>
        </w:tc>
      </w:tr>
      <w:tr>
        <w:tc>
          <w:tcPr/>
          <w:p>
            <w:pPr>
              <w:pStyle w:val="Compact"/>
              <w:jc w:val="left"/>
            </w:pPr>
            <w:r>
              <w:t xml:space="preserve">Olivetti</w:t>
            </w:r>
          </w:p>
        </w:tc>
        <w:tc>
          <w:tcPr/>
          <w:p>
            <w:pPr>
              <w:pStyle w:val="Compact"/>
              <w:jc w:val="center"/>
            </w:pPr>
            <w:r>
              <w:t xml:space="preserve">0.123</w:t>
            </w:r>
          </w:p>
        </w:tc>
        <w:tc>
          <w:tcPr/>
          <w:p>
            <w:pPr>
              <w:pStyle w:val="Compact"/>
              <w:jc w:val="center"/>
            </w:pPr>
            <w:r>
              <w:t xml:space="preserve">0.311</w:t>
            </w:r>
          </w:p>
        </w:tc>
        <w:tc>
          <w:tcPr/>
          <w:p>
            <w:pPr>
              <w:pStyle w:val="Compact"/>
              <w:jc w:val="center"/>
            </w:pPr>
            <m:oMath>
              <m:r>
                <m:rPr>
                  <m:sty m:val="b"/>
                </m:rPr>
                <m:t>0.447</m:t>
              </m:r>
            </m:oMath>
          </w:p>
        </w:tc>
        <w:tc>
          <w:tcPr/>
          <w:p>
            <w:pPr>
              <w:pStyle w:val="Compact"/>
              <w:jc w:val="center"/>
            </w:pPr>
            <w:r>
              <w:t xml:space="preserve">0.311</w:t>
            </w:r>
          </w:p>
        </w:tc>
      </w:tr>
      <w:tr>
        <w:tc>
          <w:tcPr/>
          <w:p>
            <w:pPr>
              <w:pStyle w:val="Compact"/>
              <w:jc w:val="left"/>
            </w:pPr>
            <w:r>
              <w:t xml:space="preserve">CNAE-9</w:t>
            </w:r>
          </w:p>
        </w:tc>
        <w:tc>
          <w:tcPr/>
          <w:p>
            <w:pPr>
              <w:pStyle w:val="Compact"/>
              <w:jc w:val="center"/>
            </w:pPr>
            <w:r>
              <w:t xml:space="preserve">0.752</w:t>
            </w:r>
          </w:p>
        </w:tc>
        <w:tc>
          <w:tcPr/>
          <w:p>
            <w:pPr>
              <w:pStyle w:val="Compact"/>
              <w:jc w:val="center"/>
            </w:pPr>
            <w:r>
              <w:t xml:space="preserve">0.670</w:t>
            </w:r>
          </w:p>
        </w:tc>
        <w:tc>
          <w:tcPr/>
          <w:p>
            <w:pPr>
              <w:pStyle w:val="Compact"/>
              <w:jc w:val="center"/>
            </w:pPr>
            <m:oMath>
              <m:r>
                <m:rPr>
                  <m:sty m:val="b"/>
                </m:rPr>
                <m:t>0.779</m:t>
              </m:r>
            </m:oMath>
          </w:p>
        </w:tc>
        <w:tc>
          <w:tcPr/>
          <w:p>
            <w:pPr>
              <w:pStyle w:val="Compact"/>
              <w:jc w:val="center"/>
            </w:pPr>
            <w:r>
              <w:t xml:space="preserve">0.777</w:t>
            </w:r>
          </w:p>
        </w:tc>
      </w:tr>
      <w:tr>
        <w:tc>
          <w:tcPr/>
          <w:p>
            <w:pPr>
              <w:pStyle w:val="Compact"/>
              <w:jc w:val="left"/>
            </w:pPr>
            <w:r>
              <w:t xml:space="preserve">COIL-20</w:t>
            </w:r>
          </w:p>
        </w:tc>
        <w:tc>
          <w:tcPr/>
          <w:p>
            <w:pPr>
              <w:pStyle w:val="Compact"/>
              <w:jc w:val="center"/>
            </w:pPr>
            <w:r>
              <w:t xml:space="preserve">0.752</w:t>
            </w:r>
          </w:p>
        </w:tc>
        <w:tc>
          <w:tcPr/>
          <w:p>
            <w:pPr>
              <w:pStyle w:val="Compact"/>
              <w:jc w:val="center"/>
            </w:pPr>
            <m:oMath>
              <m:r>
                <m:rPr>
                  <m:sty m:val="b"/>
                </m:rPr>
                <m:t>0.833</m:t>
              </m:r>
            </m:oMath>
          </w:p>
        </w:tc>
        <w:tc>
          <w:tcPr/>
          <w:p>
            <w:pPr>
              <w:pStyle w:val="Compact"/>
              <w:jc w:val="center"/>
            </w:pPr>
            <w:r>
              <w:t xml:space="preserve">0.790</w:t>
            </w:r>
          </w:p>
        </w:tc>
        <w:tc>
          <w:tcPr/>
          <w:p>
            <w:pPr>
              <w:pStyle w:val="Compact"/>
              <w:jc w:val="center"/>
            </w:pPr>
            <w:r>
              <w:t xml:space="preserve">0.790</w:t>
            </w:r>
          </w:p>
        </w:tc>
      </w:tr>
      <w:tr>
        <w:tc>
          <w:tcPr/>
          <w:p>
            <w:pPr>
              <w:pStyle w:val="Compact"/>
              <w:jc w:val="left"/>
            </w:pPr>
            <w:r>
              <w:t xml:space="preserve">Optdigits</w:t>
            </w:r>
          </w:p>
        </w:tc>
        <w:tc>
          <w:tcPr/>
          <w:p>
            <w:pPr>
              <w:pStyle w:val="Compact"/>
              <w:jc w:val="center"/>
            </w:pPr>
            <w:r>
              <w:t xml:space="preserve">0.897</w:t>
            </w:r>
          </w:p>
        </w:tc>
        <w:tc>
          <w:tcPr/>
          <w:p>
            <w:pPr>
              <w:pStyle w:val="Compact"/>
              <w:jc w:val="center"/>
            </w:pPr>
            <w:r>
              <w:t xml:space="preserve">0.870</w:t>
            </w:r>
          </w:p>
        </w:tc>
        <w:tc>
          <w:tcPr/>
          <w:p>
            <w:pPr>
              <w:pStyle w:val="Compact"/>
              <w:jc w:val="center"/>
            </w:pPr>
            <w:r>
              <w:t xml:space="preserve">0.906</w:t>
            </w:r>
          </w:p>
        </w:tc>
        <w:tc>
          <w:tcPr/>
          <w:p>
            <w:pPr>
              <w:pStyle w:val="Compact"/>
              <w:jc w:val="center"/>
            </w:pPr>
            <m:oMath>
              <m:r>
                <m:rPr>
                  <m:sty m:val="b"/>
                </m:rPr>
                <m:t>0.907</m:t>
              </m:r>
            </m:oMath>
          </w:p>
        </w:tc>
      </w:tr>
      <w:tr>
        <w:tc>
          <w:tcPr/>
          <w:p>
            <w:pPr>
              <w:pStyle w:val="Compact"/>
              <w:jc w:val="left"/>
            </w:pPr>
            <w:r>
              <w:t xml:space="preserve">MFeat</w:t>
            </w:r>
          </w:p>
        </w:tc>
        <w:tc>
          <w:tcPr/>
          <w:p>
            <w:pPr>
              <w:pStyle w:val="Compact"/>
              <w:jc w:val="center"/>
            </w:pPr>
            <w:r>
              <w:t xml:space="preserve">0.948</w:t>
            </w:r>
          </w:p>
        </w:tc>
        <w:tc>
          <w:tcPr/>
          <w:p>
            <w:pPr>
              <w:pStyle w:val="Compact"/>
              <w:jc w:val="center"/>
            </w:pPr>
            <w:r>
              <w:t xml:space="preserve">0.932</w:t>
            </w:r>
          </w:p>
        </w:tc>
        <w:tc>
          <w:tcPr/>
          <w:p>
            <w:pPr>
              <w:pStyle w:val="Compact"/>
              <w:jc w:val="center"/>
            </w:pPr>
            <m:oMath>
              <m:r>
                <m:rPr>
                  <m:sty m:val="b"/>
                </m:rPr>
                <m:t>0.972</m:t>
              </m:r>
            </m:oMath>
          </w:p>
        </w:tc>
        <w:tc>
          <w:tcPr/>
          <w:p>
            <w:pPr>
              <w:pStyle w:val="Compact"/>
              <w:jc w:val="center"/>
            </w:pPr>
            <m:oMath>
              <m:r>
                <m:rPr>
                  <m:sty m:val="b"/>
                </m:rPr>
                <m:t>0.972</m:t>
              </m:r>
            </m:oMath>
          </w:p>
        </w:tc>
      </w:tr>
      <w:tr>
        <w:tc>
          <w:tcPr/>
          <w:p>
            <w:pPr>
              <w:pStyle w:val="Compact"/>
              <w:jc w:val="left"/>
            </w:pPr>
            <w:r>
              <w:t xml:space="preserve">Segment.</w:t>
            </w:r>
          </w:p>
        </w:tc>
        <w:tc>
          <w:tcPr/>
          <w:p>
            <w:pPr>
              <w:pStyle w:val="Compact"/>
              <w:jc w:val="center"/>
            </w:pPr>
            <m:oMath>
              <m:r>
                <m:rPr>
                  <m:sty m:val="b"/>
                </m:rPr>
                <m:t>0.489</m:t>
              </m:r>
            </m:oMath>
          </w:p>
        </w:tc>
        <w:tc>
          <w:tcPr/>
          <w:p>
            <w:pPr>
              <w:pStyle w:val="Compact"/>
              <w:jc w:val="center"/>
            </w:pPr>
            <w:r>
              <w:t xml:space="preserve">0.376</w:t>
            </w:r>
          </w:p>
        </w:tc>
        <w:tc>
          <w:tcPr/>
          <w:p>
            <w:pPr>
              <w:pStyle w:val="Compact"/>
              <w:jc w:val="center"/>
            </w:pPr>
            <w:r>
              <w:t xml:space="preserve">0.434</w:t>
            </w:r>
          </w:p>
        </w:tc>
        <w:tc>
          <w:tcPr/>
          <w:p>
            <w:pPr>
              <w:pStyle w:val="Compact"/>
              <w:jc w:val="center"/>
            </w:pPr>
            <w:r>
              <w:t xml:space="preserve">0.474</w:t>
            </w:r>
          </w:p>
        </w:tc>
      </w:tr>
      <w:tr>
        <w:tc>
          <w:tcPr/>
          <w:p>
            <w:pPr>
              <w:pStyle w:val="Compact"/>
              <w:jc w:val="left"/>
            </w:pPr>
            <w:r>
              <w:t xml:space="preserve">ISOLET</w:t>
            </w:r>
          </w:p>
        </w:tc>
        <w:tc>
          <w:tcPr/>
          <w:p>
            <w:pPr>
              <w:pStyle w:val="Compact"/>
              <w:jc w:val="center"/>
            </w:pPr>
            <w:r>
              <w:t xml:space="preserve">0.528</w:t>
            </w:r>
          </w:p>
        </w:tc>
        <w:tc>
          <w:tcPr/>
          <w:p>
            <w:pPr>
              <w:pStyle w:val="Compact"/>
              <w:jc w:val="center"/>
            </w:pPr>
            <m:oMath>
              <m:r>
                <m:rPr>
                  <m:sty m:val="b"/>
                </m:rPr>
                <m:t>0.553</m:t>
              </m:r>
            </m:oMath>
          </w:p>
        </w:tc>
        <w:tc>
          <w:tcPr/>
          <w:p>
            <w:pPr>
              <w:pStyle w:val="Compact"/>
              <w:jc w:val="center"/>
            </w:pPr>
            <w:r>
              <w:t xml:space="preserve">0.545</w:t>
            </w:r>
          </w:p>
        </w:tc>
        <w:tc>
          <w:tcPr/>
          <w:p>
            <w:pPr>
              <w:pStyle w:val="Compact"/>
              <w:jc w:val="center"/>
            </w:pPr>
            <w:r>
              <w:t xml:space="preserve">0.544</w:t>
            </w:r>
          </w:p>
        </w:tc>
      </w:tr>
      <w:tr>
        <w:tc>
          <w:tcPr/>
          <w:p>
            <w:pPr>
              <w:pStyle w:val="Compact"/>
              <w:jc w:val="left"/>
            </w:pPr>
            <w:r>
              <w:t xml:space="preserve">Satimage</w:t>
            </w:r>
          </w:p>
        </w:tc>
        <w:tc>
          <w:tcPr/>
          <w:p>
            <w:pPr>
              <w:pStyle w:val="Compact"/>
              <w:jc w:val="center"/>
            </w:pPr>
            <w:r>
              <w:t xml:space="preserve">0.541</w:t>
            </w:r>
          </w:p>
        </w:tc>
        <w:tc>
          <w:tcPr/>
          <w:p>
            <w:pPr>
              <w:pStyle w:val="Compact"/>
              <w:jc w:val="center"/>
            </w:pPr>
            <w:r>
              <w:t xml:space="preserve">0.391</w:t>
            </w:r>
          </w:p>
        </w:tc>
        <w:tc>
          <w:tcPr/>
          <w:p>
            <w:pPr>
              <w:pStyle w:val="Compact"/>
              <w:jc w:val="center"/>
            </w:pPr>
            <w:r>
              <w:t xml:space="preserve">0.614</w:t>
            </w:r>
          </w:p>
        </w:tc>
        <w:tc>
          <w:tcPr/>
          <w:p>
            <w:pPr>
              <w:pStyle w:val="Compact"/>
              <w:jc w:val="center"/>
            </w:pPr>
            <m:oMath>
              <m:r>
                <m:rPr>
                  <m:sty m:val="b"/>
                </m:rPr>
                <m:t>0.626</m:t>
              </m:r>
            </m:oMath>
          </w:p>
        </w:tc>
      </w:tr>
      <w:tr>
        <w:tc>
          <w:tcPr/>
          <w:p>
            <w:pPr>
              <w:pStyle w:val="Compact"/>
              <w:jc w:val="left"/>
            </w:pPr>
            <w:r>
              <w:t xml:space="preserve">USPS</w:t>
            </w:r>
          </w:p>
        </w:tc>
        <w:tc>
          <w:tcPr/>
          <w:p>
            <w:pPr>
              <w:pStyle w:val="Compact"/>
              <w:jc w:val="center"/>
            </w:pPr>
            <w:r>
              <w:t xml:space="preserve">0.909</w:t>
            </w:r>
          </w:p>
        </w:tc>
        <w:tc>
          <w:tcPr/>
          <w:p>
            <w:pPr>
              <w:pStyle w:val="Compact"/>
              <w:jc w:val="center"/>
            </w:pPr>
            <w:r>
              <w:t xml:space="preserve">0.702</w:t>
            </w:r>
          </w:p>
        </w:tc>
        <w:tc>
          <w:tcPr/>
          <w:p>
            <w:pPr>
              <w:pStyle w:val="Compact"/>
              <w:jc w:val="center"/>
            </w:pPr>
            <m:oMath>
              <m:r>
                <m:rPr>
                  <m:sty m:val="b"/>
                </m:rPr>
                <m:t>0.937</m:t>
              </m:r>
            </m:oMath>
          </w:p>
        </w:tc>
        <w:tc>
          <w:tcPr/>
          <w:p>
            <w:pPr>
              <w:pStyle w:val="Compact"/>
              <w:jc w:val="center"/>
            </w:pPr>
            <w:r>
              <w:t xml:space="preserve">0.920</w:t>
            </w:r>
          </w:p>
        </w:tc>
      </w:tr>
      <w:tr>
        <w:tc>
          <w:tcPr/>
          <w:p>
            <w:pPr>
              <w:pStyle w:val="Compact"/>
              <w:jc w:val="left"/>
            </w:pPr>
            <w:r>
              <w:t xml:space="preserve">PenDigits</w:t>
            </w:r>
          </w:p>
        </w:tc>
        <w:tc>
          <w:tcPr/>
          <w:p>
            <w:pPr>
              <w:pStyle w:val="Compact"/>
              <w:jc w:val="center"/>
            </w:pPr>
            <w:r>
              <w:t xml:space="preserve">0.735</w:t>
            </w:r>
          </w:p>
        </w:tc>
        <w:tc>
          <w:tcPr/>
          <w:p>
            <w:pPr>
              <w:pStyle w:val="Compact"/>
              <w:jc w:val="center"/>
            </w:pPr>
            <w:r>
              <w:t xml:space="preserve">0.586</w:t>
            </w:r>
          </w:p>
        </w:tc>
        <w:tc>
          <w:tcPr/>
          <w:p>
            <w:pPr>
              <w:pStyle w:val="Compact"/>
              <w:jc w:val="center"/>
            </w:pPr>
            <m:oMath>
              <m:r>
                <m:rPr>
                  <m:sty m:val="b"/>
                </m:rPr>
                <m:t>0.808</m:t>
              </m:r>
            </m:oMath>
          </w:p>
        </w:tc>
        <w:tc>
          <w:tcPr/>
          <w:p>
            <w:pPr>
              <w:pStyle w:val="Compact"/>
              <w:jc w:val="center"/>
            </w:pPr>
            <w:r>
              <w:t xml:space="preserve">0.798</w:t>
            </w:r>
          </w:p>
        </w:tc>
      </w:tr>
    </w:tbl>
    <w:bookmarkEnd w:id="77"/>
    <w:p>
      <w:pPr>
        <w:pStyle w:val="BodyText"/>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pPr>
      <w:r>
        <w:t xml:space="preserve">Predicted cluster count (mean over 5 seeds) vs. ground truth. DEAC is the deployable gate’s selected engine; recovering the right granularity without labels is itself hard (part of the misalignment). Best (closest to</w:t>
      </w:r>
      <w:r>
        <w:t xml:space="preserve"> </w:t>
      </w:r>
      <m:oMath>
        <m:sSub>
          <m:e>
            <m:r>
              <m:t>C</m:t>
            </m:r>
          </m:e>
          <m:sub>
            <m:r>
              <m:rPr>
                <m:nor/>
                <m:sty m:val="p"/>
              </m:rPr>
              <m:t>true</m:t>
            </m:r>
          </m:sub>
        </m:sSub>
      </m:oMath>
      <w:r>
        <w:t xml:space="preserve">) in bold.</w:t>
      </w:r>
    </w:p>
    <w:tbl>
      <w:tblPr>
        <w:tblStyle w:val="Table"/>
        <w:tblW w:type="auto" w:w="0"/>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m:oMath>
              <m:sSub>
                <m:e>
                  <m:r>
                    <m:t>C</m:t>
                  </m:r>
                </m:e>
                <m:sub>
                  <m:r>
                    <m:rPr>
                      <m:nor/>
                      <m:sty m:val="p"/>
                    </m:rPr>
                    <m:t>true</m:t>
                  </m:r>
                </m:sub>
              </m:sSub>
            </m:oMath>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w: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r>
      <w:tr>
        <w:tc>
          <w:tcPr/>
          <w:p>
            <w:pPr>
              <w:pStyle w:val="Compact"/>
              <w:jc w:val="left"/>
            </w:pPr>
            <w:r>
              <w:t xml:space="preserve">Glass</w:t>
            </w:r>
          </w:p>
        </w:tc>
        <w:tc>
          <w:tcPr/>
          <w:p>
            <w:pPr>
              <w:pStyle w:val="Compact"/>
              <w:jc w:val="center"/>
            </w:pPr>
            <w:r>
              <w:t xml:space="preserve">6</w:t>
            </w:r>
          </w:p>
        </w:tc>
        <w:tc>
          <w:tcPr/>
          <w:p>
            <w:pPr>
              <w:pStyle w:val="Compact"/>
              <w:jc w:val="center"/>
            </w:pPr>
            <w:r>
              <w:rPr>
                <w:b/>
                <w:bCs/>
              </w:rPr>
              <w:t xml:space="preserve">3</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9</w:t>
            </w:r>
          </w:p>
        </w:tc>
      </w:tr>
      <w:tr>
        <w:tc>
          <w:tcPr/>
          <w:p>
            <w:pPr>
              <w:pStyle w:val="Compact"/>
              <w:jc w:val="left"/>
            </w:pPr>
            <w:r>
              <w:t xml:space="preserve">Olivetti</w:t>
            </w:r>
          </w:p>
        </w:tc>
        <w:tc>
          <w:tcPr/>
          <w:p>
            <w:pPr>
              <w:pStyle w:val="Compact"/>
              <w:jc w:val="center"/>
            </w:pPr>
            <w:r>
              <w:t xml:space="preserve">40</w:t>
            </w:r>
          </w:p>
        </w:tc>
        <w:tc>
          <w:tcPr/>
          <w:p>
            <w:pPr>
              <w:pStyle w:val="Compact"/>
              <w:jc w:val="center"/>
            </w:pPr>
            <w:r>
              <w:t xml:space="preserve">5</w:t>
            </w:r>
          </w:p>
        </w:tc>
        <w:tc>
          <w:tcPr/>
          <w:p>
            <w:pPr>
              <w:pStyle w:val="Compact"/>
              <w:jc w:val="center"/>
            </w:pPr>
            <w:r>
              <w:t xml:space="preserve">13</w:t>
            </w:r>
          </w:p>
        </w:tc>
        <w:tc>
          <w:tcPr/>
          <w:p>
            <w:pPr>
              <w:pStyle w:val="Compact"/>
              <w:jc w:val="center"/>
            </w:pPr>
            <w:r>
              <w:rPr>
                <w:b/>
                <w:bCs/>
              </w:rPr>
              <w:t xml:space="preserve">19</w:t>
            </w:r>
          </w:p>
        </w:tc>
        <w:tc>
          <w:tcPr/>
          <w:p>
            <w:pPr>
              <w:pStyle w:val="Compact"/>
              <w:jc w:val="center"/>
            </w:pPr>
            <w:r>
              <w:t xml:space="preserve">13</w:t>
            </w:r>
          </w:p>
        </w:tc>
      </w:tr>
      <w:tr>
        <w:tc>
          <w:tcPr/>
          <w:p>
            <w:pPr>
              <w:pStyle w:val="Compact"/>
              <w:jc w:val="left"/>
            </w:pPr>
            <w:r>
              <w:t xml:space="preserve">CNAE-9</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15</w:t>
            </w:r>
          </w:p>
        </w:tc>
        <w:tc>
          <w:tcPr/>
          <w:p>
            <w:pPr>
              <w:pStyle w:val="Compact"/>
              <w:jc w:val="center"/>
            </w:pPr>
            <w:r>
              <w:rPr>
                <w:b/>
                <w:bCs/>
              </w:rPr>
              <w:t xml:space="preserve">9</w:t>
            </w:r>
          </w:p>
        </w:tc>
        <w:tc>
          <w:tcPr/>
          <w:p>
            <w:pPr>
              <w:pStyle w:val="Compact"/>
              <w:jc w:val="center"/>
            </w:pPr>
            <w:r>
              <w:t xml:space="preserve">10</w:t>
            </w:r>
          </w:p>
        </w:tc>
      </w:tr>
      <w:tr>
        <w:tc>
          <w:tcPr/>
          <w:p>
            <w:pPr>
              <w:pStyle w:val="Compact"/>
              <w:jc w:val="left"/>
            </w:pPr>
            <w:r>
              <w:t xml:space="preserve">COIL-20</w:t>
            </w:r>
          </w:p>
        </w:tc>
        <w:tc>
          <w:tcPr/>
          <w:p>
            <w:pPr>
              <w:pStyle w:val="Compact"/>
              <w:jc w:val="center"/>
            </w:pPr>
            <w:r>
              <w:t xml:space="preserve">20</w:t>
            </w:r>
          </w:p>
        </w:tc>
        <w:tc>
          <w:tcPr/>
          <w:p>
            <w:pPr>
              <w:pStyle w:val="Compact"/>
              <w:jc w:val="center"/>
            </w:pPr>
            <w:r>
              <w:t xml:space="preserve">15</w:t>
            </w:r>
          </w:p>
        </w:tc>
        <w:tc>
          <w:tcPr/>
          <w:p>
            <w:pPr>
              <w:pStyle w:val="Compact"/>
              <w:jc w:val="center"/>
            </w:pPr>
            <w:r>
              <w:rPr>
                <w:b/>
                <w:bCs/>
              </w:rPr>
              <w:t xml:space="preserve">21</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Optdigits</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rPr>
                <w:b/>
                <w:bCs/>
              </w:rPr>
              <w:t xml:space="preserve">11</w:t>
            </w:r>
          </w:p>
        </w:tc>
        <w:tc>
          <w:tcPr/>
          <w:p>
            <w:pPr>
              <w:pStyle w:val="Compact"/>
              <w:jc w:val="center"/>
            </w:pPr>
            <w:r>
              <w:rPr>
                <w:b/>
                <w:bCs/>
              </w:rPr>
              <w:t xml:space="preserve">11</w:t>
            </w:r>
          </w:p>
        </w:tc>
      </w:tr>
      <w:tr>
        <w:tc>
          <w:tcPr/>
          <w:p>
            <w:pPr>
              <w:pStyle w:val="Compact"/>
              <w:jc w:val="left"/>
            </w:pPr>
            <w:r>
              <w:t xml:space="preserve">MFeat</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12</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Segment.</w:t>
            </w:r>
          </w:p>
        </w:tc>
        <w:tc>
          <w:tcPr/>
          <w:p>
            <w:pPr>
              <w:pStyle w:val="Compact"/>
              <w:jc w:val="center"/>
            </w:pPr>
            <w:r>
              <w:t xml:space="preserve">7</w:t>
            </w:r>
          </w:p>
        </w:tc>
        <w:tc>
          <w:tcPr/>
          <w:p>
            <w:pPr>
              <w:pStyle w:val="Compact"/>
              <w:jc w:val="center"/>
            </w:pPr>
            <w:r>
              <w:t xml:space="preserve">21</w:t>
            </w:r>
          </w:p>
        </w:tc>
        <w:tc>
          <w:tcPr/>
          <w:p>
            <w:pPr>
              <w:pStyle w:val="Compact"/>
              <w:jc w:val="center"/>
            </w:pPr>
            <w:r>
              <w:t xml:space="preserve">28</w:t>
            </w:r>
          </w:p>
        </w:tc>
        <w:tc>
          <w:tcPr/>
          <w:p>
            <w:pPr>
              <w:pStyle w:val="Compact"/>
              <w:jc w:val="center"/>
            </w:pPr>
            <w:r>
              <w:t xml:space="preserve">23</w:t>
            </w:r>
          </w:p>
        </w:tc>
        <w:tc>
          <w:tcPr/>
          <w:p>
            <w:pPr>
              <w:pStyle w:val="Compact"/>
              <w:jc w:val="center"/>
            </w:pPr>
            <w:r>
              <w:rPr>
                <w:b/>
                <w:bCs/>
              </w:rPr>
              <w:t xml:space="preserve">21</w:t>
            </w:r>
          </w:p>
        </w:tc>
      </w:tr>
      <w:tr>
        <w:tc>
          <w:tcPr/>
          <w:p>
            <w:pPr>
              <w:pStyle w:val="Compact"/>
              <w:jc w:val="left"/>
            </w:pPr>
            <w:r>
              <w:t xml:space="preserve">ISOLET</w:t>
            </w:r>
          </w:p>
        </w:tc>
        <w:tc>
          <w:tcPr/>
          <w:p>
            <w:pPr>
              <w:pStyle w:val="Compact"/>
              <w:jc w:val="center"/>
            </w:pPr>
            <w:r>
              <w:t xml:space="preserve">26</w:t>
            </w:r>
          </w:p>
        </w:tc>
        <w:tc>
          <w:tcPr/>
          <w:p>
            <w:pPr>
              <w:pStyle w:val="Compact"/>
              <w:jc w:val="center"/>
            </w:pPr>
            <w:r>
              <w:rPr>
                <w:b/>
                <w:bCs/>
              </w:rPr>
              <w:t xml:space="preserve">23</w:t>
            </w:r>
          </w:p>
        </w:tc>
        <w:tc>
          <w:tcPr/>
          <w:p>
            <w:pPr>
              <w:pStyle w:val="Compact"/>
              <w:jc w:val="center"/>
            </w:pPr>
            <w:r>
              <w:t xml:space="preserve">32</w:t>
            </w:r>
          </w:p>
        </w:tc>
        <w:tc>
          <w:tcPr/>
          <w:p>
            <w:pPr>
              <w:pStyle w:val="Compact"/>
              <w:jc w:val="center"/>
            </w:pPr>
            <w:r>
              <w:t xml:space="preserve">22</w:t>
            </w:r>
          </w:p>
        </w:tc>
        <w:tc>
          <w:tcPr/>
          <w:p>
            <w:pPr>
              <w:pStyle w:val="Compact"/>
              <w:jc w:val="center"/>
            </w:pPr>
            <w:r>
              <w:t xml:space="preserve">22</w:t>
            </w:r>
          </w:p>
        </w:tc>
      </w:tr>
      <w:tr>
        <w:tc>
          <w:tcPr/>
          <w:p>
            <w:pPr>
              <w:pStyle w:val="Compact"/>
              <w:jc w:val="left"/>
            </w:pPr>
            <w:r>
              <w:t xml:space="preserve">Satimage</w:t>
            </w:r>
          </w:p>
        </w:tc>
        <w:tc>
          <w:tcPr/>
          <w:p>
            <w:pPr>
              <w:pStyle w:val="Compact"/>
              <w:jc w:val="center"/>
            </w:pPr>
            <w:r>
              <w:t xml:space="preserve">6</w:t>
            </w:r>
          </w:p>
        </w:tc>
        <w:tc>
          <w:tcPr/>
          <w:p>
            <w:pPr>
              <w:pStyle w:val="Compact"/>
              <w:jc w:val="center"/>
            </w:pPr>
            <w:r>
              <w:t xml:space="preserve">13</w:t>
            </w:r>
          </w:p>
        </w:tc>
        <w:tc>
          <w:tcPr/>
          <w:p>
            <w:pPr>
              <w:pStyle w:val="Compact"/>
              <w:jc w:val="center"/>
            </w:pPr>
            <w:r>
              <w:t xml:space="preserve">29</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USPS</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19</w:t>
            </w:r>
          </w:p>
        </w:tc>
        <w:tc>
          <w:tcPr/>
          <w:p>
            <w:pPr>
              <w:pStyle w:val="Compact"/>
              <w:jc w:val="center"/>
            </w:pPr>
            <w:r>
              <w:rPr>
                <w:b/>
                <w:bCs/>
              </w:rPr>
              <w:t xml:space="preserve">10</w:t>
            </w:r>
          </w:p>
        </w:tc>
        <w:tc>
          <w:tcPr/>
          <w:p>
            <w:pPr>
              <w:pStyle w:val="Compact"/>
              <w:jc w:val="center"/>
            </w:pPr>
            <w:r>
              <w:t xml:space="preserve">11</w:t>
            </w:r>
          </w:p>
        </w:tc>
      </w:tr>
      <w:tr>
        <w:tc>
          <w:tcPr/>
          <w:p>
            <w:pPr>
              <w:pStyle w:val="Compact"/>
              <w:jc w:val="left"/>
            </w:pPr>
            <w:r>
              <w:t xml:space="preserve">PenDigits</w:t>
            </w:r>
          </w:p>
        </w:tc>
        <w:tc>
          <w:tcPr/>
          <w:p>
            <w:pPr>
              <w:pStyle w:val="Compact"/>
              <w:jc w:val="center"/>
            </w:pPr>
            <w:r>
              <w:t xml:space="preserve">10</w:t>
            </w:r>
          </w:p>
        </w:tc>
        <w:tc>
          <w:tcPr/>
          <w:p>
            <w:pPr>
              <w:pStyle w:val="Compact"/>
              <w:jc w:val="center"/>
            </w:pPr>
            <w:r>
              <w:t xml:space="preserve">26</w:t>
            </w:r>
          </w:p>
        </w:tc>
        <w:tc>
          <w:tcPr/>
          <w:p>
            <w:pPr>
              <w:pStyle w:val="Compact"/>
              <w:jc w:val="center"/>
            </w:pPr>
            <w:r>
              <w:t xml:space="preserve">34</w:t>
            </w:r>
          </w:p>
        </w:tc>
        <w:tc>
          <w:tcPr/>
          <w:p>
            <w:pPr>
              <w:pStyle w:val="Compact"/>
              <w:jc w:val="center"/>
            </w:pPr>
            <w:r>
              <w:rPr>
                <w:b/>
                <w:bCs/>
              </w:rPr>
              <w:t xml:space="preserve">20</w:t>
            </w:r>
          </w:p>
        </w:tc>
        <w:tc>
          <w:tcPr/>
          <w:p>
            <w:pPr>
              <w:pStyle w:val="Compact"/>
              <w:jc w:val="center"/>
            </w:pPr>
            <w:r>
              <w:t xml:space="preserve">21</w:t>
            </w:r>
          </w:p>
        </w:tc>
      </w:tr>
      <w:tr>
        <w:tc>
          <w:tcPr/>
          <w:p>
            <w:pPr>
              <w:pStyle w:val="Compact"/>
              <w:jc w:val="left"/>
            </w:pPr>
            <w:r>
              <w:rPr>
                <w:b/>
                <w:bCs/>
              </w:rPr>
              <w:t xml:space="preserve">MAE</w:t>
            </w:r>
          </w:p>
        </w:tc>
        <w:tc>
          <w:tcPr/>
          <w:p>
            <w:pPr>
              <w:pStyle w:val="Compact"/>
              <w:jc w:val="center"/>
            </w:pPr>
            <w:r>
              <w:t xml:space="preserve">—</w:t>
            </w:r>
          </w:p>
        </w:tc>
        <w:tc>
          <w:tcPr/>
          <w:p>
            <w:pPr>
              <w:pStyle w:val="Compact"/>
              <w:jc w:val="center"/>
            </w:pPr>
            <w:r>
              <w:t xml:space="preserve">7.53</w:t>
            </w:r>
          </w:p>
        </w:tc>
        <w:tc>
          <w:tcPr/>
          <w:p>
            <w:pPr>
              <w:pStyle w:val="Compact"/>
              <w:jc w:val="center"/>
            </w:pPr>
            <w:r>
              <w:t xml:space="preserve">10.57</w:t>
            </w:r>
          </w:p>
        </w:tc>
        <w:tc>
          <w:tcPr/>
          <w:p>
            <w:pPr>
              <w:pStyle w:val="Compact"/>
              <w:jc w:val="center"/>
            </w:pPr>
            <w:r>
              <w:t xml:space="preserve">5.25</w:t>
            </w:r>
          </w:p>
        </w:tc>
        <w:tc>
          <w:tcPr/>
          <w:p>
            <w:pPr>
              <w:pStyle w:val="Compact"/>
              <w:jc w:val="center"/>
            </w:pPr>
            <w:r>
              <w:t xml:space="preserve">5.77</w:t>
            </w:r>
          </w:p>
        </w:tc>
      </w:tr>
      <w:tr>
        <w:tc>
          <w:tcPr/>
          <w:p>
            <w:pPr>
              <w:pStyle w:val="Compact"/>
              <w:jc w:val="left"/>
            </w:pPr>
            <w:r>
              <w:rPr>
                <w:b/>
                <w:bCs/>
              </w:rPr>
              <w:t xml:space="preserve">Exact</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1/12</w:t>
            </w:r>
          </w:p>
        </w:tc>
        <w:tc>
          <w:tcPr/>
          <w:p>
            <w:pPr>
              <w:pStyle w:val="Compact"/>
              <w:jc w:val="center"/>
            </w:pPr>
            <w:r>
              <w:t xml:space="preserve">4/12</w:t>
            </w:r>
          </w:p>
        </w:tc>
        <w:tc>
          <w:tcPr/>
          <w:p>
            <w:pPr>
              <w:pStyle w:val="Compact"/>
              <w:jc w:val="center"/>
            </w:pPr>
            <w:r>
              <w:t xml:space="preserve">2/12</w:t>
            </w:r>
          </w:p>
        </w:tc>
      </w:tr>
    </w:tbl>
    <w:bookmarkEnd w:id="78"/>
    <w:bookmarkStart w:id="82" w:name="fig:metric_bars_4way"/>
    <w:p>
      <w:pPr>
        <w:pStyle w:val="CaptionedFigure"/>
      </w:pPr>
      <w:r>
        <w:drawing>
          <wp:inline>
            <wp:extent cx="4533900" cy="4529642"/>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4533900" cy="4529642"/>
                    </a:xfrm>
                    <a:prstGeom prst="rect">
                      <a:avLst/>
                    </a:prstGeom>
                    <a:noFill/>
                    <a:ln w="9525">
                      <a:noFill/>
                      <a:headEnd/>
                      <a:tailEnd/>
                    </a:ln>
                  </pic:spPr>
                </pic:pic>
              </a:graphicData>
            </a:graphic>
          </wp:inline>
        </w:drawing>
      </w:r>
    </w:p>
    <w:p>
      <w:pPr>
        <w:pStyle w:val="ImageCaption"/>
      </w:pPr>
      <w: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4064339" cy="3838033"/>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4064339" cy="3838033"/>
                    </a:xfrm>
                    <a:prstGeom prst="rect">
                      <a:avLst/>
                    </a:prstGeom>
                    <a:noFill/>
                    <a:ln w="9525">
                      <a:noFill/>
                      <a:headEnd/>
                      <a:tailEnd/>
                    </a:ln>
                  </pic:spPr>
                </pic:pic>
              </a:graphicData>
            </a:graphic>
          </wp:inline>
        </w:drawing>
      </w:r>
    </w:p>
    <w:p>
      <w:pPr>
        <w:pStyle w:val="ImageCaption"/>
      </w:pPr>
      <w: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pPr>
      <w:r>
        <w:t xml:space="preserve">Statistical Significance</w:t>
      </w:r>
    </w:p>
    <w:p>
      <w:pPr>
        <w:pStyle w:val="FirstParagrap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pPr>
      <w:r>
        <w:t xml:space="preserve">Two-tailed Wilcoxon signed-rank tests of the</w:t>
      </w:r>
      <w:r>
        <w:t xml:space="preserve"> </w:t>
      </w:r>
      <w:r>
        <w:rPr>
          <w:i/>
          <w:iCs/>
        </w:rPr>
        <w:t xml:space="preserve">deployable</w:t>
      </w:r>
      <w:r>
        <w:t xml:space="preserve"> </w:t>
      </w:r>
      <w:r>
        <w:t xml:space="preserve">DEAC gate vs. each comparator over 12 datasets, Holm–Bonferroni corrected across the nine tests.</w:t>
      </w:r>
      <w:r>
        <w:t xml:space="preserve"> </w:t>
      </w:r>
      <m:oMath>
        <m:r>
          <m:rPr>
            <m:sty m:val="p"/>
          </m:rPr>
          <m:t>✓</m:t>
        </m:r>
      </m:oMath>
      <w:r>
        <w:t xml:space="preserve"> </w:t>
      </w:r>
      <w:r>
        <w:t xml:space="preserve">marks a Holm-significant DEAC advantage.</w:t>
      </w:r>
    </w:p>
    <w:tbl>
      <w:tblPr>
        <w:tblStyle w:val="Table"/>
        <w:tblW w:type="auto" w:w="0"/>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left"/>
            </w:pPr>
            <w:r>
              <w:t xml:space="preserve">Type</w:t>
            </w:r>
          </w:p>
        </w:tc>
        <w:tc>
          <w:tcPr/>
          <w:p>
            <w:pPr>
              <w:pStyle w:val="Compact"/>
              <w:jc w:val="center"/>
            </w:pPr>
            <m:oMath>
              <m:r>
                <m:t>p</m:t>
              </m:r>
            </m:oMath>
          </w:p>
        </w:tc>
        <w:tc>
          <w:tcPr/>
          <w:p>
            <w:pPr>
              <w:pStyle w:val="Compact"/>
              <w:jc w:val="center"/>
            </w:pPr>
            <m:oMath>
              <m:sSub>
                <m:e>
                  <m:r>
                    <m:t>p</m:t>
                  </m:r>
                </m:e>
                <m:sub>
                  <m:r>
                    <m:rPr>
                      <m:nor/>
                      <m:sty m:val="p"/>
                    </m:rPr>
                    <m:t>Holm</m:t>
                  </m:r>
                </m:sub>
              </m:sSub>
            </m:oMath>
          </w:p>
        </w:tc>
        <w:tc>
          <w:tcPr/>
          <w:p>
            <w:pPr>
              <w:pStyle w:val="Compact"/>
              <w:jc w:val="center"/>
            </w:pPr>
            <w:r>
              <w:t xml:space="preserve">Sig.</w:t>
            </w:r>
          </w:p>
        </w:tc>
      </w:tr>
      <w:tr>
        <w:tc>
          <w:tcPr/>
          <w:p>
            <w:pPr>
              <w:pStyle w:val="Compact"/>
              <w:jc w:val="left"/>
            </w:pPr>
            <w:r>
              <w:t xml:space="preserve">DEAC vs KMeans</w:t>
            </w:r>
          </w:p>
        </w:tc>
        <w:tc>
          <w:tcPr/>
          <w:p>
            <w:pPr>
              <w:pStyle w:val="Compact"/>
              <w:jc w:val="left"/>
            </w:pPr>
            <w:r>
              <w:t xml:space="preserve">classical</w:t>
            </w:r>
          </w:p>
        </w:tc>
        <w:tc>
          <w:tcPr/>
          <w:p>
            <w:pPr>
              <w:pStyle w:val="Compact"/>
              <w:jc w:val="center"/>
            </w:pPr>
            <w:r>
              <w:t xml:space="preserve">0.034</w:t>
            </w:r>
          </w:p>
        </w:tc>
        <w:tc>
          <w:tcPr/>
          <w:p>
            <w:pPr>
              <w:pStyle w:val="Compact"/>
              <w:jc w:val="center"/>
            </w:pPr>
            <w:r>
              <w:t xml:space="preserve">0.205</w:t>
            </w:r>
          </w:p>
        </w:tc>
        <w:tc>
          <w:tcPr/>
          <w:p>
            <w:pPr>
              <w:pStyle w:val="Compact"/>
              <w:jc w:val="center"/>
            </w:pPr>
            <m:oMath>
              <m:r>
                <m:rPr>
                  <m:sty m:val="p"/>
                </m:rPr>
                <m:t>×</m:t>
              </m:r>
            </m:oMath>
          </w:p>
        </w:tc>
      </w:tr>
      <w:tr>
        <w:tc>
          <w:tcPr/>
          <w:p>
            <w:pPr>
              <w:pStyle w:val="Compact"/>
              <w:jc w:val="left"/>
            </w:pPr>
            <w:r>
              <w:t xml:space="preserve">DEAC vs Spectral</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Agglomerative</w:t>
            </w:r>
          </w:p>
        </w:tc>
        <w:tc>
          <w:tcPr/>
          <w:p>
            <w:pPr>
              <w:pStyle w:val="Compact"/>
              <w:jc w:val="left"/>
            </w:pPr>
            <w:r>
              <w:t xml:space="preserve">classical</w:t>
            </w:r>
          </w:p>
        </w:tc>
        <w:tc>
          <w:tcPr/>
          <w:p>
            <w:pPr>
              <w:pStyle w:val="Compact"/>
              <w:jc w:val="center"/>
            </w:pPr>
            <w:r>
              <w:t xml:space="preserve">0.151</w:t>
            </w:r>
          </w:p>
        </w:tc>
        <w:tc>
          <w:tcPr/>
          <w:p>
            <w:pPr>
              <w:pStyle w:val="Compact"/>
              <w:jc w:val="center"/>
            </w:pPr>
            <w:r>
              <w:t xml:space="preserve">0.303</w:t>
            </w:r>
          </w:p>
        </w:tc>
        <w:tc>
          <w:tcPr/>
          <w:p>
            <w:pPr>
              <w:pStyle w:val="Compact"/>
              <w:jc w:val="center"/>
            </w:pPr>
            <m:oMath>
              <m:r>
                <m:rPr>
                  <m:sty m:val="p"/>
                </m:rPr>
                <m:t>×</m:t>
              </m:r>
            </m:oMath>
          </w:p>
        </w:tc>
      </w:tr>
      <w:tr>
        <w:tc>
          <w:tcPr/>
          <w:p>
            <w:pPr>
              <w:pStyle w:val="Compact"/>
              <w:jc w:val="left"/>
            </w:pPr>
            <w:r>
              <w:t xml:space="preserve">DEAC vs GMM</w:t>
            </w:r>
          </w:p>
        </w:tc>
        <w:tc>
          <w:tcPr/>
          <w:p>
            <w:pPr>
              <w:pStyle w:val="Compact"/>
              <w:jc w:val="left"/>
            </w:pPr>
            <w:r>
              <w:t xml:space="preserve">classical</w:t>
            </w:r>
          </w:p>
        </w:tc>
        <w:tc>
          <w:tcPr/>
          <w:p>
            <w:pPr>
              <w:pStyle w:val="Compact"/>
              <w:jc w:val="center"/>
            </w:pPr>
            <w:r>
              <w:t xml:space="preserve">0.052</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HDBSCAN</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N2D</w:t>
            </w:r>
          </w:p>
        </w:tc>
        <w:tc>
          <w:tcPr/>
          <w:p>
            <w:pPr>
              <w:pStyle w:val="Compact"/>
              <w:jc w:val="left"/>
            </w:pPr>
            <w:r>
              <w:t xml:space="preserve">deep</w:t>
            </w:r>
          </w:p>
        </w:tc>
        <w:tc>
          <w:tcPr/>
          <w:p>
            <w:pPr>
              <w:pStyle w:val="Compact"/>
              <w:jc w:val="center"/>
            </w:pPr>
            <w:r>
              <w:t xml:space="preserve">0.733</w:t>
            </w:r>
          </w:p>
        </w:tc>
        <w:tc>
          <w:tcPr/>
          <w:p>
            <w:pPr>
              <w:pStyle w:val="Compact"/>
              <w:jc w:val="center"/>
            </w:pPr>
            <w:r>
              <w:t xml:space="preserve">0.733</w:t>
            </w:r>
          </w:p>
        </w:tc>
        <w:tc>
          <w:tcPr/>
          <w:p>
            <w:pPr>
              <w:pStyle w:val="Compact"/>
              <w:jc w:val="center"/>
            </w:pPr>
            <m:oMath>
              <m:r>
                <m:rPr>
                  <m:sty m:val="p"/>
                </m:rPr>
                <m:t>×</m:t>
              </m:r>
            </m:oMath>
          </w:p>
        </w:tc>
      </w:tr>
      <w:tr>
        <w:tc>
          <w:tcPr/>
          <w:p>
            <w:pPr>
              <w:pStyle w:val="Compact"/>
              <w:jc w:val="left"/>
            </w:pPr>
            <w:r>
              <w:t xml:space="preserve">DEAC vs 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IDEC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DCN</w:t>
            </w:r>
          </w:p>
        </w:tc>
        <w:tc>
          <w:tcPr/>
          <w:p>
            <w:pPr>
              <w:pStyle w:val="Compact"/>
              <w:jc w:val="left"/>
            </w:pPr>
            <w:r>
              <w:t xml:space="preserve">deep</w:t>
            </w:r>
          </w:p>
        </w:tc>
        <w:tc>
          <w:tcPr/>
          <w:p>
            <w:pPr>
              <w:pStyle w:val="Compact"/>
              <w:jc w:val="center"/>
            </w:pPr>
            <w:r>
              <w:t xml:space="preserve">0.027</w:t>
            </w:r>
          </w:p>
        </w:tc>
        <w:tc>
          <w:tcPr/>
          <w:p>
            <w:pPr>
              <w:pStyle w:val="Compact"/>
              <w:jc w:val="center"/>
            </w:pPr>
            <w:r>
              <w:t xml:space="preserve">0.188</w:t>
            </w:r>
          </w:p>
        </w:tc>
        <w:tc>
          <w:tcPr/>
          <w:p>
            <w:pPr>
              <w:pStyle w:val="Compact"/>
              <w:jc w:val="center"/>
            </w:pPr>
            <m:oMath>
              <m:r>
                <m:rPr>
                  <m:sty m:val="p"/>
                </m:rPr>
                <m:t>×</m:t>
              </m:r>
            </m:oMath>
          </w:p>
        </w:tc>
      </w:tr>
    </w:tbl>
    <w:bookmarkEnd w:id="88"/>
    <w:bookmarkEnd w:id="89"/>
    <w:bookmarkStart w:id="115" w:name="qualitative-analysis"/>
    <w:p>
      <w:pPr>
        <w:pStyle w:val="Heading2"/>
      </w:pPr>
      <w:r>
        <w:t xml:space="preserve">Qualitative Analysis</w:t>
      </w:r>
    </w:p>
    <w:p>
      <w:pPr>
        <w:pStyle w:val="FirstParagrap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jc w:val="center"/>
                  </w:pPr>
                  <w:r>
                    <w:drawing>
                      <wp:inline>
                        <wp:extent cx="1199940" cy="1060331"/>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1199940" cy="1060331"/>
                                </a:xfrm>
                                <a:prstGeom prst="rect">
                                  <a:avLst/>
                                </a:prstGeom>
                                <a:noFill/>
                                <a:ln w="9525">
                                  <a:noFill/>
                                  <a:headEnd/>
                                  <a:tailEnd/>
                                </a:ln>
                              </pic:spPr>
                            </pic:pic>
                          </a:graphicData>
                        </a:graphic>
                      </wp:inline>
                    </w:drawing>
                  </w:r>
                </w:p>
              </w:tc>
            </w:tr>
            <w:tr>
              <w:tc>
                <w:tcPr/>
                <w:p>
                  <w:pPr>
                    <w:pStyle w:val="Compact"/>
                    <w:jc w:val="center"/>
                    <w:jc w:val="center"/>
                  </w:pPr>
                  <w:r>
                    <w:t xml:space="preserve">(a) MFeat</w:t>
                  </w:r>
                </w:p>
              </w:tc>
              <w:tc>
                <w:tcPr/>
                <w:p>
                  <w:pPr>
                    <w:pStyle w:val="Compact"/>
                    <w:jc w:val="center"/>
                    <w:jc w:val="center"/>
                  </w:pPr>
                  <w:r>
                    <w:t xml:space="preserve">(b) COIL-20</w:t>
                  </w:r>
                </w:p>
              </w:tc>
              <w:tc>
                <w:tcPr/>
                <w:p>
                  <w:pPr>
                    <w:pStyle w:val="Compact"/>
                    <w:jc w:val="center"/>
                    <w:jc w:val="center"/>
                  </w:pPr>
                  <w:r>
                    <w:t xml:space="preserve">(c) Olivetti</w:t>
                  </w:r>
                </w:p>
              </w:tc>
              <w:tc>
                <w:tcPr/>
                <w:p>
                  <w:pPr>
                    <w:pStyle w:val="Compact"/>
                    <w:jc w:val="center"/>
                    <w:jc w:val="center"/>
                  </w:pPr>
                  <w:r>
                    <w:t xml:space="preserve">(d) PenDigits</w:t>
                  </w:r>
                </w:p>
              </w:tc>
            </w:tr>
            <w:tr>
              <w:tc>
                <w:tcPr/>
                <w:p>
                  <w:pPr>
                    <w:pStyle w:val="Compact"/>
                    <w:jc w:val="center"/>
                    <w:jc w:val="center"/>
                  </w:pPr>
                  <w:r>
                    <w:drawing>
                      <wp:inline>
                        <wp:extent cx="1199940" cy="984593"/>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1199940" cy="984593"/>
                                </a:xfrm>
                                <a:prstGeom prst="rect">
                                  <a:avLst/>
                                </a:prstGeom>
                                <a:noFill/>
                                <a:ln w="9525">
                                  <a:noFill/>
                                  <a:headEnd/>
                                  <a:tailEnd/>
                                </a:ln>
                              </pic:spPr>
                            </pic:pic>
                          </a:graphicData>
                        </a:graphic>
                      </wp:inline>
                    </w:drawing>
                  </w:r>
                </w:p>
              </w:tc>
            </w:tr>
            <w:tr>
              <w:tc>
                <w:tcPr/>
                <w:p>
                  <w:pPr>
                    <w:pStyle w:val="Compact"/>
                    <w:jc w:val="center"/>
                    <w:jc w:val="center"/>
                  </w:pPr>
                  <w:r>
                    <w:t xml:space="preserve">(e) MFeat sil.</w:t>
                  </w:r>
                </w:p>
              </w:tc>
              <w:tc>
                <w:tcPr/>
                <w:p>
                  <w:pPr>
                    <w:pStyle w:val="Compact"/>
                    <w:jc w:val="center"/>
                    <w:jc w:val="center"/>
                  </w:pPr>
                  <w:r>
                    <w:t xml:space="preserve">(f) COIL-20 sil.</w:t>
                  </w:r>
                </w:p>
              </w:tc>
              <w:tc>
                <w:tcPr/>
                <w:p>
                  <w:pPr>
                    <w:pStyle w:val="Compact"/>
                    <w:jc w:val="center"/>
                    <w:jc w:val="center"/>
                  </w:pPr>
                  <w:r>
                    <w:t xml:space="preserve">(g) Olivetti sil.</w:t>
                  </w:r>
                </w:p>
              </w:tc>
              <w:tc>
                <w:tcPr/>
                <w:p>
                  <w:pPr>
                    <w:pStyle w:val="Compact"/>
                    <w:jc w:val="center"/>
                    <w:jc w:val="center"/>
                  </w:pPr>
                  <w:r>
                    <w:t xml:space="preserve">(h) PenDigits sil.</w:t>
                  </w:r>
                </w:p>
              </w:tc>
            </w:tr>
          </w:tbl>
          <w:p/>
        </w:tc>
      </w:tr>
    </w:tbl>
    <w:p>
      <w:pPr>
        <w:pStyle w:val="ImageCaption"/>
      </w:pPr>
      <w:r>
        <w:t xml:space="preserve">Qualitative analysis. Top (a–d): t-SNE projections of DEAC clusters. Bottom (e–h): silhouette plots.</w:t>
      </w:r>
    </w:p>
    <w:bookmarkEnd w:id="114"/>
    <w:bookmarkEnd w:id="115"/>
    <w:bookmarkStart w:id="129" w:name="optimization-dynamics"/>
    <w:p>
      <w:pPr>
        <w:pStyle w:val="Heading2"/>
      </w:pPr>
      <w:r>
        <w:t xml:space="preserve">Optimization Dynamics</w:t>
      </w:r>
    </w:p>
    <w:p>
      <w:pPr>
        <w:pStyle w:val="FirstParagrap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5334000" cy="2925096"/>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(a) Convergence — MFeat</w:t>
                  </w:r>
                </w:p>
              </w:tc>
              <w:tc>
                <w:tcPr/>
                <w:p>
                  <w:pPr>
                    <w:pStyle w:val="Compact"/>
                    <w:jc w:val="center"/>
                    <w:jc w:val="center"/>
                  </w:pPr>
                  <w:r>
                    <w:t xml:space="preserve">(b) Convergence — COIL-20</w:t>
                  </w:r>
                </w:p>
              </w:tc>
            </w:tr>
            <w:tr>
              <w:tc>
                <w:tcPr/>
                <w:p>
                  <w:pPr>
                    <w:pStyle w:val="Compact"/>
                    <w:jc w:val="center"/>
                    <w:jc w:val="center"/>
                  </w:pPr>
                  <w:r>
                    <w:drawing>
                      <wp:inline>
                        <wp:extent cx="5334000" cy="2925096"/>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(c) Trajectory — MFeat</w:t>
                  </w:r>
                </w:p>
              </w:tc>
              <w:tc>
                <w:tcPr/>
                <w:p>
                  <w:pPr>
                    <w:pStyle w:val="Compact"/>
                    <w:jc w:val="center"/>
                    <w:jc w:val="center"/>
                  </w:pPr>
                  <w:r>
                    <w:t xml:space="preserve">(d) Trajectory — COIL-20</w:t>
                  </w:r>
                </w:p>
              </w:tc>
            </w:tr>
          </w:tbl>
          <w:p/>
        </w:tc>
      </w:tr>
    </w:tbl>
    <w:p>
      <w:pPr>
        <w:pStyle w:val="ImageCaption"/>
      </w:pPr>
      <w:r>
        <w:t xml:space="preserve">DE optimization dynamics: convergence curves (top) and parameter trajectories (bottom). The horizontal axis concatenates the</w:t>
      </w:r>
      <w:r>
        <w:t xml:space="preserve"> </w:t>
      </w:r>
      <m:oMath>
        <m:r>
          <m:t>R</m:t>
        </m:r>
        <m:r>
          <m:rPr>
            <m:sty m:val="p"/>
          </m:rPr>
          <m:t>=</m:t>
        </m:r>
        <m:r>
          <m:t>2</m:t>
        </m:r>
      </m:oMath>
      <w:r>
        <w:t xml:space="preserve"> </w:t>
      </w:r>
      <w:r>
        <w:t xml:space="preserve">restarts, so it runs past</w:t>
      </w:r>
      <w:r>
        <w:t xml:space="preserve"> </w:t>
      </w:r>
      <m:oMath>
        <m:r>
          <m:t>G</m:t>
        </m:r>
        <m:r>
          <m:rPr>
            <m:sty m:val="p"/>
          </m:rPr>
          <m:t>=</m:t>
        </m:r>
        <m:r>
          <m:t>8</m:t>
        </m:r>
      </m:oMath>
      <w:r>
        <w:t xml:space="preserve"> </w:t>
      </w:r>
      <w:r>
        <w:t xml:space="preserve">generations; Nelder–Mead then refines the best candidate.</w:t>
      </w:r>
    </w:p>
    <w:bookmarkEnd w:id="128"/>
    <w:bookmarkEnd w:id="129"/>
    <w:bookmarkStart w:id="136" w:name="ablation-study"/>
    <w:p>
      <w:pPr>
        <w:pStyle w:val="Heading2"/>
      </w:pPr>
      <w:r>
        <w:t xml:space="preserve">Ablation Study</w:t>
      </w:r>
    </w:p>
    <w:p>
      <w:pPr>
        <w:pStyle w:val="FirstParagrap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pPr>
      <w:r>
        <w:t xml:space="preserve">Ablation: mean ARI across 12 datasets (canonical, 5 seeds). DEAC is the deployable gate; the oracle is the label-aware upper bound.</w:t>
      </w:r>
    </w:p>
    <w:tbl>
      <w:tblPr>
        <w:tblStyle w:val="Table"/>
        <w:tblW w:type="auto" w:w="0"/>
        <w:tblLook w:firstRow="1" w:lastRow="0" w:firstColumn="0" w:lastColumn="0" w:noHBand="0" w:noVBand="0" w:val="0020"/>
        <w:tblCaption w:val="Ablation: mean ARI across 12 datasets (canonical, 5 seeds). DEAC is the deployable gate; the oracle is the label-aware upper bound."/>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Mean ARI</w:t>
            </w:r>
          </w:p>
        </w:tc>
        <w:tc>
          <w:tcPr/>
          <w:p>
            <w:pPr>
              <w:pStyle w:val="Compact"/>
              <w:jc w:val="center"/>
            </w:pPr>
            <m:oMath>
              <m:r>
                <m:rPr>
                  <m:sty m:val="p"/>
                </m:rPr>
                <m:t>Δ</m:t>
              </m:r>
            </m:oMath>
            <w:r>
              <w:t xml:space="preserve"> </w:t>
            </w:r>
            <w:r>
              <w:t xml:space="preserve">vs. PCA</w:t>
            </w:r>
          </w:p>
        </w:tc>
      </w:tr>
      <w:tr>
        <w:tc>
          <w:tcPr/>
          <w:p>
            <w:pPr>
              <w:pStyle w:val="Compact"/>
              <w:jc w:val="left"/>
            </w:pPr>
            <w:r>
              <w:t xml:space="preserve">PCA Baseline (no optim.)</w:t>
            </w:r>
            <m:oMath>
              <m:sSup>
                <m:e>
                  <m:r>
                    <m:t>​</m:t>
                  </m:r>
                </m:e>
                <m:sup>
                  <m:r>
                    <m:rPr>
                      <m:sty m:val="p"/>
                    </m:rPr>
                    <m:t>‡</m:t>
                  </m:r>
                </m:sup>
              </m:sSup>
            </m:oMath>
          </w:p>
        </w:tc>
        <w:tc>
          <w:tcPr/>
          <w:p>
            <w:pPr>
              <w:pStyle w:val="Compact"/>
              <w:jc w:val="center"/>
            </w:pPr>
            <w:r>
              <w:t xml:space="preserve">0.326</w:t>
            </w:r>
          </w:p>
        </w:tc>
        <w:tc>
          <w:tcPr/>
          <w:p>
            <w:pPr>
              <w:pStyle w:val="Compact"/>
              <w:jc w:val="center"/>
            </w:pPr>
            <w:r>
              <w:t xml:space="preserve">—</w:t>
            </w:r>
          </w:p>
        </w:tc>
      </w:tr>
      <w:tr>
        <w:tc>
          <w:tcPr/>
          <w:p>
            <w:pPr>
              <w:pStyle w:val="Compact"/>
              <w:jc w:val="left"/>
            </w:pPr>
            <w:r>
              <w:t xml:space="preserve">UMAP Baseline (no optim.)</w:t>
            </w:r>
          </w:p>
        </w:tc>
        <w:tc>
          <w:tcPr/>
          <w:p>
            <w:pPr>
              <w:pStyle w:val="Compact"/>
              <w:jc w:val="center"/>
            </w:pPr>
            <w:r>
              <w:t xml:space="preserve">0.580</w:t>
            </w:r>
          </w:p>
        </w:tc>
        <w:tc>
          <w:tcPr/>
          <w:p>
            <w:pPr>
              <w:pStyle w:val="Compact"/>
              <w:jc w:val="center"/>
            </w:pPr>
            <w:r>
              <w:t xml:space="preserve">+77.9%</w:t>
            </w:r>
          </w:p>
        </w:tc>
      </w:tr>
      <w:tr>
        <w:tc>
          <w:tcPr/>
          <w:p>
            <w:pPr>
              <w:pStyle w:val="Compact"/>
              <w:jc w:val="left"/>
            </w:pPr>
            <w:r>
              <w:t xml:space="preserve">UMAP + DE (AMR-DE)</w:t>
            </w:r>
          </w:p>
        </w:tc>
        <w:tc>
          <w:tcPr/>
          <w:p>
            <w:pPr>
              <w:pStyle w:val="Compact"/>
              <w:jc w:val="center"/>
            </w:pPr>
            <w:r>
              <w:t xml:space="preserve">0.563</w:t>
            </w:r>
          </w:p>
        </w:tc>
        <w:tc>
          <w:tcPr/>
          <w:p>
            <w:pPr>
              <w:pStyle w:val="Compact"/>
              <w:jc w:val="center"/>
            </w:pPr>
            <w:r>
              <w:t xml:space="preserve">+72.7%</w:t>
            </w:r>
          </w:p>
        </w:tc>
      </w:tr>
      <w:tr>
        <w:tc>
          <w:tcPr/>
          <w:p>
            <w:pPr>
              <w:pStyle w:val="Compact"/>
              <w:jc w:val="left"/>
            </w:pPr>
            <w:r>
              <w:t xml:space="preserve">SNN + Leiden (EMR-CGC)</w:t>
            </w:r>
          </w:p>
        </w:tc>
        <w:tc>
          <w:tcPr/>
          <w:p>
            <w:pPr>
              <w:pStyle w:val="Compact"/>
              <w:jc w:val="center"/>
            </w:pPr>
            <w:r>
              <w:t xml:space="preserve">0.631</w:t>
            </w:r>
          </w:p>
        </w:tc>
        <w:tc>
          <w:tcPr/>
          <w:p>
            <w:pPr>
              <w:pStyle w:val="Compact"/>
              <w:jc w:val="center"/>
            </w:pPr>
            <w:r>
              <w:t xml:space="preserve">+93.6%</w:t>
            </w:r>
          </w:p>
        </w:tc>
      </w:tr>
      <w:tr>
        <w:tc>
          <w:tcPr/>
          <w:p>
            <w:pPr>
              <w:pStyle w:val="Compact"/>
              <w:jc w:val="left"/>
            </w:pPr>
            <w:r>
              <w:rPr>
                <w:b/>
                <w:bCs/>
              </w:rPr>
              <w:t xml:space="preserve">+ QualityGate (DEAC)</w:t>
            </w:r>
          </w:p>
        </w:tc>
        <w:tc>
          <w:tcPr/>
          <w:p>
            <w:pPr>
              <w:pStyle w:val="Compact"/>
              <w:jc w:val="center"/>
            </w:pPr>
            <w:r>
              <w:rPr>
                <w:b/>
                <w:bCs/>
              </w:rPr>
              <w:t xml:space="preserve">0.623</w:t>
            </w:r>
          </w:p>
        </w:tc>
        <w:tc>
          <w:tcPr/>
          <w:p>
            <w:pPr>
              <w:pStyle w:val="Compact"/>
              <w:jc w:val="center"/>
            </w:pPr>
            <w:r>
              <w:rPr>
                <w:b/>
                <w:bCs/>
              </w:rPr>
              <w:t xml:space="preserve">+91.1%</w:t>
            </w:r>
          </w:p>
        </w:tc>
      </w:tr>
      <w:tr>
        <w:tc>
          <w:tcPr/>
          <w:p>
            <w:pPr>
              <w:pStyle w:val="Compact"/>
              <w:jc w:val="left"/>
            </w:pPr>
            <w:r>
              <w:rPr>
                <w:i/>
                <w:iCs/>
              </w:rPr>
              <w:t xml:space="preserve">Oracle (upper bound)</w:t>
            </w:r>
          </w:p>
        </w:tc>
        <w:tc>
          <w:tcPr/>
          <w:p>
            <w:pPr>
              <w:pStyle w:val="Compact"/>
              <w:jc w:val="center"/>
            </w:pPr>
            <w:r>
              <w:rPr>
                <w:i/>
                <w:iCs/>
              </w:rPr>
              <w:t xml:space="preserve">0.646</w:t>
            </w:r>
          </w:p>
        </w:tc>
        <w:tc>
          <w:tcPr/>
          <w:p>
            <w:pPr>
              <w:pStyle w:val="Compact"/>
              <w:jc w:val="center"/>
            </w:pPr>
            <w:r>
              <w:rPr>
                <w:i/>
                <w:iCs/>
              </w:rPr>
              <w:t xml:space="preserve">+98.2%</w:t>
            </w:r>
          </w:p>
        </w:tc>
      </w:tr>
    </w:tbl>
    <w:bookmarkEnd w:id="130"/>
    <w:p>
      <w:pPr>
        <w:pStyle w:val="BodyText"/>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pPr>
      <w:r>
        <w:t xml:space="preserve">Controlled single-variable ablation (mean ARI, 12 datasets, 5 seeds, same budget</w:t>
      </w:r>
      <w:r>
        <w:t xml:space="preserve"> </w:t>
      </w:r>
      <m:oMath>
        <m:r>
          <m:t>k</m:t>
        </m:r>
        <m:r>
          <m:rPr>
            <m:sty m:val="p"/>
          </m:rPr>
          <m:t>=</m:t>
        </m:r>
        <m:r>
          <m:t>35</m:t>
        </m:r>
      </m:oMath>
      <w:r>
        <w:t xml:space="preserve">,</w:t>
      </w:r>
      <w:r>
        <w:t xml:space="preserve"> </w:t>
      </w:r>
      <m:oMath>
        <m:r>
          <m:t>r</m:t>
        </m:r>
        <m:r>
          <m:rPr>
            <m:sty m:val="p"/>
          </m:rPr>
          <m:t>=</m:t>
        </m:r>
        <m:r>
          <m:t>0.25</m:t>
        </m:r>
      </m:oMath>
      <w:r>
        <w:t xml:space="preserve">). Each row changes exactly one component from the row above, so the</w:t>
      </w:r>
      <w:r>
        <w:t xml:space="preserve"> </w:t>
      </w:r>
      <m:oMath>
        <m:r>
          <m:rPr>
            <m:sty m:val="p"/>
          </m:rPr>
          <m:t>Δ</m:t>
        </m:r>
      </m:oMath>
      <w:r>
        <w:t xml:space="preserve"> </w:t>
      </w:r>
      <w:r>
        <w:t xml:space="preserve">isolates that factor.</w:t>
      </w:r>
    </w:p>
    <w:tbl>
      <w:tblPr>
        <w:tblStyle w:val="Table"/>
        <w:tblW w:type="auto" w:w="0"/>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Pr>
      <w:tblGrid>
        <w:gridCol w:w="2640"/>
        <w:gridCol w:w="2640"/>
        <w:gridCol w:w="2640"/>
      </w:tblGrid>
      <w:tr>
        <w:trPr>
          <w:tblHeader w:val="on"/>
        </w:trPr>
        <w:tc>
          <w:tcPr/>
          <w:p>
            <w:pPr>
              <w:pStyle w:val="Compact"/>
              <w:jc w:val="left"/>
            </w:pPr>
            <w:r>
              <w:t xml:space="preserve">Configuration</w:t>
            </w:r>
          </w:p>
        </w:tc>
        <w:tc>
          <w:tcPr/>
          <w:p>
            <w:pPr>
              <w:pStyle w:val="Compact"/>
              <w:jc w:val="left"/>
            </w:pPr>
            <w:r>
              <w:t xml:space="preserve">Varied</w:t>
            </w:r>
          </w:p>
        </w:tc>
        <w:tc>
          <w:tcPr/>
          <w:p>
            <w:pPr>
              <w:pStyle w:val="Compact"/>
              <w:jc w:val="center"/>
            </w:pPr>
            <w:r>
              <w:t xml:space="preserve">Mean ARI (</w:t>
            </w:r>
            <m:oMath>
              <m:r>
                <m:rPr>
                  <m:sty m:val="p"/>
                </m:rPr>
                <m:t>Δ</m:t>
              </m:r>
            </m:oMath>
            <w:r>
              <w:t xml:space="preserve">)</w:t>
            </w:r>
          </w:p>
        </w:tc>
      </w:tr>
      <w:tr>
        <w:tc>
          <w:tcPr/>
          <w:p>
            <w:pPr>
              <w:pStyle w:val="Compact"/>
              <w:jc w:val="left"/>
            </w:pPr>
            <w:r>
              <w:t xml:space="preserve">PCA + KNN + Louvain</w:t>
            </w:r>
          </w:p>
        </w:tc>
        <w:tc>
          <w:tcPr/>
          <w:p>
            <w:pPr>
              <w:pStyle w:val="Compact"/>
              <w:jc w:val="left"/>
            </w:pPr>
            <w:r>
              <w:t xml:space="preserve">—</w:t>
            </w:r>
          </w:p>
        </w:tc>
        <w:tc>
          <w:tcPr/>
          <w:p>
            <w:pPr>
              <w:pStyle w:val="Compact"/>
              <w:jc w:val="center"/>
            </w:pPr>
            <w:r>
              <w:t xml:space="preserve">0.329</w:t>
            </w:r>
          </w:p>
        </w:tc>
      </w:tr>
      <w:tr>
        <w:tc>
          <w:tcPr/>
          <w:p>
            <w:pPr>
              <w:pStyle w:val="Compact"/>
              <w:jc w:val="left"/>
            </w:pPr>
            <w:r>
              <w:t xml:space="preserve">UMAP + KNN + Louvain</w:t>
            </w:r>
          </w:p>
        </w:tc>
        <w:tc>
          <w:tcPr/>
          <w:p>
            <w:pPr>
              <w:pStyle w:val="Compact"/>
              <w:jc w:val="left"/>
            </w:pPr>
            <w:r>
              <w:t xml:space="preserve">representation</w:t>
            </w:r>
          </w:p>
        </w:tc>
        <w:tc>
          <w:tcPr/>
          <w:p>
            <w:pPr>
              <w:pStyle w:val="Compact"/>
              <w:jc w:val="center"/>
            </w:pPr>
            <w:r>
              <w:t xml:space="preserve">0.580 (+0.251)</w:t>
            </w:r>
          </w:p>
        </w:tc>
      </w:tr>
      <w:tr>
        <w:tc>
          <w:tcPr/>
          <w:p>
            <w:pPr>
              <w:pStyle w:val="Compact"/>
              <w:jc w:val="left"/>
            </w:pPr>
            <w:r>
              <w:t xml:space="preserve">UMAP + KNN + Leiden</w:t>
            </w:r>
          </w:p>
        </w:tc>
        <w:tc>
          <w:tcPr/>
          <w:p>
            <w:pPr>
              <w:pStyle w:val="Compact"/>
              <w:jc w:val="left"/>
            </w:pPr>
            <w:r>
              <w:t xml:space="preserve">detector</w:t>
            </w:r>
          </w:p>
        </w:tc>
        <w:tc>
          <w:tcPr/>
          <w:p>
            <w:pPr>
              <w:pStyle w:val="Compact"/>
              <w:jc w:val="center"/>
            </w:pPr>
            <w:r>
              <w:t xml:space="preserve">0.577 (-0.003)</w:t>
            </w:r>
          </w:p>
        </w:tc>
      </w:tr>
      <w:tr>
        <w:tc>
          <w:tcPr/>
          <w:p>
            <w:pPr>
              <w:pStyle w:val="Compact"/>
              <w:jc w:val="left"/>
            </w:pPr>
            <w:r>
              <w:t xml:space="preserve">UMAP + SNN + Leiden</w:t>
            </w:r>
          </w:p>
        </w:tc>
        <w:tc>
          <w:tcPr/>
          <w:p>
            <w:pPr>
              <w:pStyle w:val="Compact"/>
              <w:jc w:val="left"/>
            </w:pPr>
            <w:r>
              <w:t xml:space="preserve">weighting</w:t>
            </w:r>
          </w:p>
        </w:tc>
        <w:tc>
          <w:tcPr/>
          <w:p>
            <w:pPr>
              <w:pStyle w:val="Compact"/>
              <w:jc w:val="center"/>
            </w:pPr>
            <w:r>
              <w:t xml:space="preserve">0.567 (-0.010)</w:t>
            </w:r>
          </w:p>
        </w:tc>
      </w:tr>
    </w:tbl>
    <w:bookmarkEnd w:id="131"/>
    <w:bookmarkStart w:id="135" w:name="fig:phase_waterfall"/>
    <w:p>
      <w:pPr>
        <w:pStyle w:val="CaptionedFigure"/>
      </w:pPr>
      <w:r>
        <w:drawing>
          <wp:inline>
            <wp:extent cx="5334000" cy="2893624"/>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5334000" cy="2893624"/>
                    </a:xfrm>
                    <a:prstGeom prst="rect">
                      <a:avLst/>
                    </a:prstGeom>
                    <a:noFill/>
                    <a:ln w="9525">
                      <a:noFill/>
                      <a:headEnd/>
                      <a:tailEnd/>
                    </a:ln>
                  </pic:spPr>
                </pic:pic>
              </a:graphicData>
            </a:graphic>
          </wp:inline>
        </w:drawing>
      </w:r>
    </w:p>
    <w:p>
      <w:pPr>
        <w:pStyle w:val="ImageCaption"/>
      </w:pPr>
      <w:r>
        <w:t xml:space="preserve">Phase-by-phase contribution to mean ARI over 12 datasets. From the PCA baseline, UMAP representation and the SNN–Leiden ensemble (EMR-CGC) drive mean ARI to 0.631; the label-free QualityGate then</w:t>
      </w:r>
      <w:r>
        <w:t xml:space="preserve"> </w:t>
      </w:r>
      <w:r>
        <w:rPr>
          <w:i/>
          <w:iCs/>
        </w:rPr>
        <w:t xml:space="preserve">reduces</w:t>
      </w:r>
      <w:r>
        <w:t xml:space="preserve"> </w:t>
      </w:r>
      <w:r>
        <w:t xml:space="preserve">it slightly to 0.623 (trading accuracy for safety), while the label-aware oracle marks the 0.646 upper bound.</w:t>
      </w:r>
    </w:p>
    <w:bookmarkEnd w:id="135"/>
    <w:bookmarkEnd w:id="136"/>
    <w:bookmarkStart w:id="138" w:name="computational-complexity"/>
    <w:p>
      <w:pPr>
        <w:pStyle w:val="Heading2"/>
      </w:pPr>
      <w:r>
        <w:t xml:space="preserve">Computational Complexity</w:t>
      </w:r>
    </w:p>
    <w:p>
      <w:pPr>
        <w:pStyle w:val="FirstParagrap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pPr>
      <w:r>
        <w:t xml:space="preserve">Computational complexity of DEAC components.</w:t>
      </w:r>
    </w:p>
    <w:tbl>
      <w:tblPr>
        <w:tblStyle w:val="Table"/>
        <w:tblW w:type="auto" w:w="0"/>
        <w:tblLook w:firstRow="1" w:lastRow="0" w:firstColumn="0" w:lastColumn="0" w:noHBand="0" w:noVBand="0" w:val="0020"/>
        <w:tblCaption w:val="Computational complexity of DEAC components."/>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Complexity</w:t>
            </w:r>
          </w:p>
        </w:tc>
        <w:tc>
          <w:tcPr/>
          <w:p>
            <w:pPr>
              <w:pStyle w:val="Compact"/>
              <w:jc w:val="center"/>
            </w:pPr>
            <w:r>
              <w:t xml:space="preserve">Typical Cost</w:t>
            </w:r>
          </w:p>
        </w:tc>
      </w:tr>
      <w:tr>
        <w:tc>
          <w:tcPr/>
          <w:p>
            <w:pPr>
              <w:pStyle w:val="Compact"/>
              <w:jc w:val="left"/>
            </w:pPr>
            <w:r>
              <w:t xml:space="preserve">StandardScaler</w:t>
            </w:r>
          </w:p>
        </w:tc>
        <w:tc>
          <w:tcPr/>
          <w:p>
            <w:pPr>
              <w:pStyle w:val="Compact"/>
              <w:jc w:val="center"/>
            </w:pPr>
            <m:oMath>
              <m:r>
                <m:rPr>
                  <m:scr m:val="script"/>
                  <m:sty m:val="p"/>
                </m:rPr>
                <m:t>O</m:t>
              </m:r>
              <m:r>
                <m:rPr>
                  <m:sty m:val="p"/>
                </m:rPr>
                <m:t>(</m:t>
              </m:r>
              <m:r>
                <m:t>n</m:t>
              </m:r>
              <m:r>
                <m:t>d</m:t>
              </m:r>
              <m:r>
                <m:rPr>
                  <m:sty m:val="p"/>
                </m:rPr>
                <m:t>)</m:t>
              </m:r>
            </m:oMath>
          </w:p>
        </w:tc>
        <w:tc>
          <w:tcPr/>
          <w:p>
            <w:pPr>
              <w:pStyle w:val="Compact"/>
              <w:jc w:val="center"/>
            </w:pPr>
            <w:r>
              <w:t xml:space="preserve">linear</w:t>
            </w:r>
          </w:p>
        </w:tc>
      </w:tr>
      <w:tr>
        <w:tc>
          <w:tcPr/>
          <w:p>
            <w:pPr>
              <w:pStyle w:val="Compact"/>
              <w:jc w:val="left"/>
            </w:pPr>
            <w:r>
              <w:t xml:space="preserve">PCA</w:t>
            </w:r>
          </w:p>
        </w:tc>
        <w:tc>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d</m:t>
              </m:r>
              <m:r>
                <m:rPr>
                  <m:sty m:val="p"/>
                </m:rPr>
                <m:t>⋅</m:t>
              </m:r>
              <m:r>
                <m:t>40</m:t>
              </m:r>
              <m:r>
                <m:rPr>
                  <m:sty m:val="p"/>
                </m:rPr>
                <m:t>)</m:t>
              </m:r>
            </m:oMath>
          </w:p>
        </w:tc>
      </w:tr>
      <w:tr>
        <w:tc>
          <w:tcPr/>
          <w:p>
            <w:pPr>
              <w:pStyle w:val="Compact"/>
              <w:jc w:val="left"/>
            </w:pPr>
            <w:r>
              <w:t xml:space="preserve">UMAP</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p>
            <w:pPr>
              <w:pStyle w:val="Compact"/>
              <w:jc w:val="center"/>
            </w:pPr>
            <w:r>
              <w:t xml:space="preserve">near-linear</w:t>
            </w:r>
          </w:p>
        </w:tc>
      </w:tr>
      <w:tr>
        <w:tc>
          <w:tcPr/>
          <w:p>
            <w:pPr>
              <w:pStyle w:val="Compact"/>
              <w:jc w:val="left"/>
            </w:pPr>
            <w:r>
              <w:t xml:space="preserve">t-SNE (Barnes–Hut)</w:t>
            </w:r>
          </w:p>
        </w:tc>
        <w:tc>
          <w:tcPr/>
          <w:p>
            <w:pPr>
              <w:pStyle w:val="Compact"/>
              <w:jc w:val="center"/>
            </w:pPr>
            <m:oMath>
              <m:r>
                <m:rPr>
                  <m:scr m:val="script"/>
                  <m:sty m:val="p"/>
                </m:rPr>
                <m:t>O</m:t>
              </m:r>
              <m:r>
                <m:rPr>
                  <m:sty m:val="p"/>
                </m:rPr>
                <m:t>(</m:t>
              </m:r>
              <m:r>
                <m:t>n</m:t>
              </m:r>
              <m:r>
                <m:rPr>
                  <m:sty m:val="p"/>
                </m:rPr>
                <m:t>log</m:t>
              </m:r>
              <m:r>
                <m:t>n</m:t>
              </m:r>
              <m:r>
                <m:rPr>
                  <m:sty m:val="p"/>
                </m:rPr>
                <m:t>)</m:t>
              </m:r>
            </m:oMath>
          </w:p>
        </w:tc>
        <w:tc>
          <w:tcPr/>
          <w:p>
            <w:pPr>
              <w:pStyle w:val="Compact"/>
              <w:jc w:val="center"/>
            </w:pPr>
            <w:r>
              <w:t xml:space="preserve">near-linear</w:t>
            </w:r>
            <m:oMath>
              <m:sSup>
                <m:e>
                  <m:r>
                    <m:t>​</m:t>
                  </m:r>
                </m:e>
                <m:sup>
                  <m:r>
                    <m:rPr>
                      <m:sty m:val="p"/>
                    </m:rPr>
                    <m:t>*</m:t>
                  </m:r>
                </m:sup>
              </m:sSup>
            </m:oMath>
          </w:p>
        </w:tc>
      </w:tr>
      <w:tr>
        <w:tc>
          <w:tcPr/>
          <w:p>
            <w:pPr>
              <w:pStyle w:val="Compact"/>
              <w:jc w:val="left"/>
            </w:pPr>
            <w:r>
              <w:t xml:space="preserve">KNN graph</w:t>
            </w:r>
          </w:p>
        </w:tc>
        <w:tc>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k</m:t>
              </m:r>
              <m:r>
                <m:rPr>
                  <m:sty m:val="p"/>
                </m:rPr>
                <m:t>⋅</m:t>
              </m:r>
              <m:r>
                <m:t>40</m:t>
              </m:r>
              <m:r>
                <m:rPr>
                  <m:sty m:val="p"/>
                </m:rPr>
                <m:t>)</m:t>
              </m:r>
            </m:oMath>
          </w:p>
        </w:tc>
      </w:tr>
      <w:tr>
        <w:tc>
          <w:tcPr/>
          <w:p>
            <w:pPr>
              <w:pStyle w:val="Compact"/>
              <w:jc w:val="left"/>
            </w:pPr>
            <w:r>
              <w:t xml:space="preserve">SNN graph</w:t>
            </w:r>
          </w:p>
        </w:tc>
        <w:tc>
          <w:tcPr/>
          <w:p>
            <w:pPr>
              <w:pStyle w:val="Compact"/>
              <w:jc w:val="center"/>
            </w:pPr>
            <m:oMath>
              <m:r>
                <m:rPr>
                  <m:scr m:val="script"/>
                  <m:sty m:val="p"/>
                </m:rPr>
                <m:t>O</m:t>
              </m:r>
              <m:r>
                <m:rPr>
                  <m:sty m:val="p"/>
                </m:rPr>
                <m:t>(</m:t>
              </m:r>
              <m:r>
                <m:t>n</m:t>
              </m:r>
              <m:sSup>
                <m:e>
                  <m:r>
                    <m:t>k</m:t>
                  </m:r>
                </m:e>
                <m:sup>
                  <m:r>
                    <m:t>2</m:t>
                  </m:r>
                </m:sup>
              </m:sSup>
              <m:r>
                <m:rPr>
                  <m:sty m:val="p"/>
                </m:rPr>
                <m:t>)</m:t>
              </m:r>
            </m:oMath>
          </w:p>
        </w:tc>
        <w:tc>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p>
            <w:pPr>
              <w:pStyle w:val="Compact"/>
              <w:jc w:val="left"/>
            </w:pPr>
            <w:r>
              <w:t xml:space="preserve">Leiden</w:t>
            </w:r>
          </w:p>
        </w:tc>
        <w:tc>
          <w:tcPr/>
          <w:p>
            <w:pPr>
              <w:pStyle w:val="Compact"/>
              <w:jc w:val="center"/>
            </w:pPr>
            <m:oMath>
              <m:r>
                <m:rPr>
                  <m:scr m:val="script"/>
                  <m:sty m:val="p"/>
                </m:rPr>
                <m:t>O</m:t>
              </m:r>
              <m:r>
                <m:rPr>
                  <m:sty m:val="p"/>
                </m:rPr>
                <m:t>(</m:t>
              </m:r>
              <m:r>
                <m:t>m</m:t>
              </m:r>
              <m:r>
                <m:rPr>
                  <m:sty m:val="p"/>
                </m:rPr>
                <m:t>log</m:t>
              </m:r>
              <m:r>
                <m:t>n</m:t>
              </m:r>
              <m:r>
                <m:rPr>
                  <m:sty m:val="p"/>
                </m:rPr>
                <m:t>)</m:t>
              </m:r>
            </m:oMath>
          </w:p>
        </w:tc>
        <w:tc>
          <w:tcPr/>
          <w:p>
            <w:pPr>
              <w:pStyle w:val="Compact"/>
              <w:jc w:val="center"/>
            </w:pPr>
            <w:r>
              <w:t xml:space="preserve">near-linear</w:t>
            </w:r>
          </w:p>
        </w:tc>
      </w:tr>
      <w:tr>
        <w:tc>
          <w:tcPr/>
          <w:p>
            <w:pPr>
              <w:pStyle w:val="Compact"/>
              <w:jc w:val="left"/>
            </w:pPr>
            <w:r>
              <w:t xml:space="preserve">AMR-DE (all evals)</w:t>
            </w:r>
          </w:p>
        </w:tc>
        <w:tc>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p>
            <w:pPr>
              <w:pStyle w:val="Compact"/>
              <w:jc w:val="center"/>
            </w:pPr>
            <m:oMath>
              <m:r>
                <m:t>E</m:t>
              </m:r>
              <m:r>
                <m:rPr>
                  <m:sty m:val="p"/>
                </m:rPr>
                <m:t>=</m:t>
              </m:r>
              <m:r>
                <m:t>R</m:t>
              </m:r>
              <m:r>
                <m:t>G</m:t>
              </m:r>
              <m:r>
                <m:t>P</m:t>
              </m:r>
              <m:r>
                <m:rPr>
                  <m:sty m:val="p"/>
                </m:rPr>
                <m:t>≈</m:t>
              </m:r>
              <m:r>
                <m:t>320</m:t>
              </m:r>
            </m:oMath>
          </w:p>
        </w:tc>
      </w:tr>
      <w:tr>
        <w:tc>
          <w:tcPr/>
          <w:p>
            <w:pPr>
              <w:pStyle w:val="Compact"/>
              <w:jc w:val="left"/>
            </w:pPr>
            <w:r>
              <w:t xml:space="preserve">EMR-CGC ensemble</w:t>
            </w:r>
          </w:p>
        </w:tc>
        <w:tc>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p>
            <w:pPr>
              <w:pStyle w:val="Compact"/>
              <w:jc w:val="center"/>
            </w:pPr>
            <m:oMath>
              <m:r>
                <m:t>60</m:t>
              </m:r>
              <m:r>
                <m:rPr>
                  <m:sty m:val="p"/>
                </m:rPr>
                <m:t>⋅</m:t>
              </m:r>
              <m:sSub>
                <m:e>
                  <m:r>
                    <m:t>F</m:t>
                  </m:r>
                </m:e>
                <m:sub>
                  <m:r>
                    <m:t>c</m:t>
                  </m:r>
                </m:sub>
              </m:sSub>
            </m:oMath>
          </w:p>
        </w:tc>
      </w:tr>
      <w:tr>
        <w:tc>
          <w:tcPr/>
          <w:p>
            <w:pPr>
              <w:pStyle w:val="Compact"/>
              <w:jc w:val="left"/>
            </w:pPr>
            <w:r>
              <w:rPr>
                <w:b/>
                <w:bCs/>
              </w:rPr>
              <w:t xml:space="preserve">Total DEAC</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p>
            <w:pPr>
              <w:pStyle w:val="Compact"/>
              <w:jc w:val="center"/>
            </w:pPr>
            <w:r>
              <w:t xml:space="preserve">sub-quadratic</w:t>
            </w:r>
          </w:p>
        </w:tc>
      </w:tr>
    </w:tbl>
    <w:bookmarkEnd w:id="137"/>
    <w:p>
      <w:pPr>
        <w:pStyle w:val="BodyText"/>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pPr>
      <w:r>
        <w:t xml:space="preserve">Discussion</w:t>
      </w:r>
    </w:p>
    <w:p>
      <w:pPr>
        <w:pStyle w:val="FirstParagrap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pPr>
      <w:r>
        <w:t xml:space="preserve">Why Arbitration, Not Optimization?</w:t>
      </w:r>
    </w:p>
    <w:p>
      <w:pPr>
        <w:pStyle w:val="FirstParagrap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pPr>
      <w:r>
        <w:t xml:space="preserve">Deployable selection-rule ablation (mean ARI, 12 datasets, 5 seeds). Removing the rho guard (best-internal) and removing AMR-DE from the gate both leave performance essentially unchanged; the trivial</w:t>
      </w:r>
      <w:r>
        <w:t xml:space="preserve"> </w:t>
      </w:r>
      <w:r>
        <w:t xml:space="preserve">‘always-EMR-CGC’</w:t>
      </w:r>
      <w:r>
        <w:t xml:space="preserve"> </w:t>
      </w:r>
      <w:r>
        <w:t xml:space="preserve">policy slightly exceeds the gate. The gate’s role is protective (it avoids the optimizer’s worst picks), not accuracy-maximizing.</w:t>
      </w:r>
    </w:p>
    <w:tbl>
      <w:tblPr>
        <w:tblStyle w:val="Table"/>
        <w:tblW w:type="auto" w:w="0"/>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Pr>
      <w:tblGrid>
        <w:gridCol w:w="2640"/>
        <w:gridCol w:w="2640"/>
        <w:gridCol w:w="2640"/>
      </w:tblGrid>
      <w:tr>
        <w:trPr>
          <w:tblHeader w:val="on"/>
        </w:trPr>
        <w:tc>
          <w:tcPr/>
          <w:p>
            <w:pPr>
              <w:pStyle w:val="Compact"/>
              <w:jc w:val="left"/>
            </w:pPr>
            <w:r>
              <w:t xml:space="preserve">Deployable policy</w:t>
            </w:r>
          </w:p>
        </w:tc>
        <w:tc>
          <w:tcPr/>
          <w:p>
            <w:pPr>
              <w:pStyle w:val="Compact"/>
              <w:jc w:val="center"/>
            </w:pPr>
            <w:r>
              <w:t xml:space="preserve">Mean ARI</w:t>
            </w:r>
          </w:p>
        </w:tc>
        <w:tc>
          <w:tcPr/>
          <w:p>
            <w:pPr>
              <w:pStyle w:val="Compact"/>
              <w:jc w:val="center"/>
            </w:pPr>
            <w:r>
              <w:t xml:space="preserve">Oracle-gain recovery</w:t>
            </w:r>
          </w:p>
        </w:tc>
      </w:tr>
      <w:tr>
        <w:tc>
          <w:tcPr/>
          <w:p>
            <w:pPr>
              <w:pStyle w:val="Compact"/>
              <w:jc w:val="left"/>
            </w:pPr>
            <w:r>
              <w:t xml:space="preserve">Always-Baseline (no selection)</w:t>
            </w:r>
          </w:p>
        </w:tc>
        <w:tc>
          <w:tcPr/>
          <w:p>
            <w:pPr>
              <w:pStyle w:val="Compact"/>
              <w:jc w:val="center"/>
            </w:pPr>
            <w:r>
              <w:t xml:space="preserve">0.580</w:t>
            </w:r>
          </w:p>
        </w:tc>
        <w:tc>
          <w:tcPr/>
          <w:p>
            <w:pPr>
              <w:pStyle w:val="Compact"/>
              <w:jc w:val="center"/>
            </w:pPr>
            <w:r>
              <w:t xml:space="preserve">+0%</w:t>
            </w:r>
          </w:p>
        </w:tc>
      </w:tr>
      <w:tr>
        <w:tc>
          <w:tcPr/>
          <w:p>
            <w:pPr>
              <w:pStyle w:val="Compact"/>
              <w:jc w:val="left"/>
            </w:pPr>
            <w:r>
              <w:t xml:space="preserve">Always-EMR-CGC</w:t>
            </w:r>
          </w:p>
        </w:tc>
        <w:tc>
          <w:tcPr/>
          <w:p>
            <w:pPr>
              <w:pStyle w:val="Compact"/>
              <w:jc w:val="center"/>
            </w:pPr>
            <w:r>
              <w:t xml:space="preserve">0.631</w:t>
            </w:r>
          </w:p>
        </w:tc>
        <w:tc>
          <w:tcPr/>
          <w:p>
            <w:pPr>
              <w:pStyle w:val="Compact"/>
              <w:jc w:val="center"/>
            </w:pPr>
            <w:r>
              <w:t xml:space="preserve">+77%</w:t>
            </w:r>
          </w:p>
        </w:tc>
      </w:tr>
      <w:tr>
        <w:tc>
          <w:tcPr/>
          <w:p>
            <w:pPr>
              <w:pStyle w:val="Compact"/>
              <w:jc w:val="left"/>
            </w:pPr>
            <w:r>
              <w:t xml:space="preserve">Best-internal (no rho guard)</w:t>
            </w:r>
          </w:p>
        </w:tc>
        <w:tc>
          <w:tcPr/>
          <w:p>
            <w:pPr>
              <w:pStyle w:val="Compact"/>
              <w:jc w:val="center"/>
            </w:pPr>
            <w:r>
              <w:t xml:space="preserve">0.624</w:t>
            </w:r>
          </w:p>
        </w:tc>
        <w:tc>
          <w:tcPr/>
          <w:p>
            <w:pPr>
              <w:pStyle w:val="Compact"/>
              <w:jc w:val="center"/>
            </w:pPr>
            <w:r>
              <w:t xml:space="preserve">+66%</w:t>
            </w:r>
          </w:p>
        </w:tc>
      </w:tr>
      <w:tr>
        <w:tc>
          <w:tcPr/>
          <w:p>
            <w:pPr>
              <w:pStyle w:val="Compact"/>
              <w:jc w:val="left"/>
            </w:pPr>
            <w:r>
              <w:t xml:space="preserve">QualityGate w/o AMR-DE</w:t>
            </w:r>
          </w:p>
        </w:tc>
        <w:tc>
          <w:tcPr/>
          <w:p>
            <w:pPr>
              <w:pStyle w:val="Compact"/>
              <w:jc w:val="center"/>
            </w:pPr>
            <w:r>
              <w:t xml:space="preserve">0.621</w:t>
            </w:r>
          </w:p>
        </w:tc>
        <w:tc>
          <w:tcPr/>
          <w:p>
            <w:pPr>
              <w:pStyle w:val="Compact"/>
              <w:jc w:val="center"/>
            </w:pPr>
            <w:r>
              <w:t xml:space="preserve">+62%</w:t>
            </w:r>
          </w:p>
        </w:tc>
      </w:tr>
      <w:tr>
        <w:tc>
          <w:tcPr/>
          <w:p>
            <w:pPr>
              <w:pStyle w:val="Compact"/>
              <w:jc w:val="left"/>
            </w:pPr>
            <w:r>
              <w:rPr>
                <w:b/>
                <w:bCs/>
              </w:rPr>
              <w:t xml:space="preserve">QualityGate (full)</w:t>
            </w:r>
          </w:p>
        </w:tc>
        <w:tc>
          <w:tcPr/>
          <w:p>
            <w:pPr>
              <w:pStyle w:val="Compact"/>
              <w:jc w:val="center"/>
            </w:pPr>
            <w:r>
              <w:t xml:space="preserve">0.624</w:t>
            </w:r>
          </w:p>
        </w:tc>
        <w:tc>
          <w:tcPr/>
          <w:p>
            <w:pPr>
              <w:pStyle w:val="Compact"/>
              <w:jc w:val="center"/>
            </w:pPr>
            <w:r>
              <w:t xml:space="preserve">+66%</w:t>
            </w:r>
          </w:p>
        </w:tc>
      </w:tr>
      <w:tr>
        <w:tc>
          <w:tcPr/>
          <w:p>
            <w:pPr>
              <w:pStyle w:val="Compact"/>
              <w:jc w:val="left"/>
            </w:pPr>
            <w:r>
              <w:rPr>
                <w:i/>
                <w:iCs/>
              </w:rPr>
              <w:t xml:space="preserve">Oracle (upper bound)</w:t>
            </w:r>
          </w:p>
        </w:tc>
        <w:tc>
          <w:tcPr/>
          <w:p>
            <w:pPr>
              <w:pStyle w:val="Compact"/>
              <w:jc w:val="center"/>
            </w:pPr>
            <w:r>
              <w:t xml:space="preserve">0.646</w:t>
            </w:r>
          </w:p>
        </w:tc>
        <w:tc>
          <w:tcPr/>
          <w:p>
            <w:pPr>
              <w:pStyle w:val="Compact"/>
              <w:jc w:val="center"/>
            </w:pPr>
            <w:r>
              <w:t xml:space="preserve">+100%</w:t>
            </w:r>
          </w:p>
        </w:tc>
      </w:tr>
    </w:tbl>
    <w:bookmarkEnd w:id="140"/>
    <w:bookmarkEnd w:id="141"/>
    <w:bookmarkStart w:id="143" w:name="how-much-of-the-oracle-is-deployable"/>
    <w:p>
      <w:pPr>
        <w:pStyle w:val="Heading2"/>
      </w:pPr>
      <w:r>
        <w:t xml:space="preserve">How Much of the Oracle Is Deployable?</w:t>
      </w:r>
    </w:p>
    <w:p>
      <w:pPr>
        <w:pStyle w:val="FirstParagrap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pPr>
      <w:r>
        <w:t xml:space="preserve">Deployable QualityGate (internal metrics, no labels) vs. the oracle upper bound, mean ARI over 5 seeds.</w:t>
      </w:r>
      <w:r>
        <w:t xml:space="preserve"> </w:t>
      </w:r>
      <m:oMath>
        <m:r>
          <m:rPr>
            <m:sty m:val="p"/>
          </m:rPr>
          <m:t>Δ</m:t>
        </m:r>
      </m:oMath>
      <w:r>
        <w:t xml:space="preserve"> </w:t>
      </w:r>
      <w:r>
        <w:t xml:space="preserve">= oracle</w:t>
      </w:r>
      <w:r>
        <w:t xml:space="preserve"> </w:t>
      </w:r>
      <m:oMath>
        <m:r>
          <m:rPr>
            <m:sty m:val="p"/>
          </m:rPr>
          <m:t>−</m:t>
        </m:r>
      </m:oMath>
      <w:r>
        <w:t xml:space="preserve"> </w:t>
      </w:r>
      <w:r>
        <w:t xml:space="preserve">gate.</w:t>
      </w:r>
    </w:p>
    <w:tbl>
      <w:tblPr>
        <w:tblStyle w:val="Table"/>
        <w:tblW w:type="auto" w:w="0"/>
        <w:tblLook w:firstRow="1" w:lastRow="0" w:firstColumn="0" w:lastColumn="0" w:noHBand="0" w:noVBand="0" w:val="0020"/>
        <w:tblCaption w:val="Deployable QualityGate (internal metrics, no labels) vs. the oracle upper bound, mean ARI over 5 seeds. \Delta = oracle - gate."/>
      </w:tblPr>
      <w:tblGrid>
        <w:gridCol w:w="1980"/>
        <w:gridCol w:w="1980"/>
        <w:gridCol w:w="1980"/>
        <w:gridCol w:w="1980"/>
      </w:tblGrid>
      <w:tr>
        <w:trPr>
          <w:tblHeader w:val="on"/>
        </w:trPr>
        <w:tc>
          <w:tcPr/>
          <w:p>
            <w:pPr>
              <w:pStyle w:val="Compact"/>
              <w:jc w:val="left"/>
            </w:pPr>
            <w:r>
              <w:t xml:space="preserve">Dataset</w:t>
            </w:r>
          </w:p>
        </w:tc>
        <w:tc>
          <w:tcPr/>
          <w:p>
            <w:pPr>
              <w:pStyle w:val="Compact"/>
              <w:jc w:val="center"/>
            </w:pPr>
            <w:r>
              <w:t xml:space="preserve">Gate ARI</w:t>
            </w:r>
          </w:p>
        </w:tc>
        <w:tc>
          <w:tcPr/>
          <w:p>
            <w:pPr>
              <w:pStyle w:val="Compact"/>
              <w:jc w:val="center"/>
            </w:pPr>
            <w:r>
              <w:t xml:space="preserve">Oracle ARI</w:t>
            </w:r>
          </w:p>
        </w:tc>
        <w:tc>
          <w:tcPr/>
          <w:p>
            <w:pPr>
              <w:pStyle w:val="Compact"/>
              <w:jc w:val="center"/>
            </w:pPr>
            <m:oMath>
              <m:r>
                <m:rPr>
                  <m:sty m:val="p"/>
                </m:rPr>
                <m:t>Δ</m:t>
              </m:r>
            </m:oMath>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0.802</w:t>
            </w:r>
          </w:p>
        </w:tc>
        <w:tc>
          <w:tcPr/>
          <w:p>
            <w:pPr>
              <w:pStyle w:val="Compact"/>
              <w:jc w:val="center"/>
            </w:pPr>
            <w:r>
              <w:t xml:space="preserve">+0.011</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0.172</w:t>
            </w:r>
          </w:p>
        </w:tc>
        <w:tc>
          <w:tcPr/>
          <w:p>
            <w:pPr>
              <w:pStyle w:val="Compact"/>
              <w:jc w:val="center"/>
            </w:pPr>
            <w:r>
              <w:t xml:space="preserve">+0.003</w:t>
            </w:r>
          </w:p>
        </w:tc>
      </w:tr>
      <w:tr>
        <w:tc>
          <w:tcPr/>
          <w:p>
            <w:pPr>
              <w:pStyle w:val="Compact"/>
              <w:jc w:val="left"/>
            </w:pPr>
            <w:r>
              <w:t xml:space="preserve">Olivetti</w:t>
            </w:r>
          </w:p>
        </w:tc>
        <w:tc>
          <w:tcPr/>
          <w:p>
            <w:pPr>
              <w:pStyle w:val="Compact"/>
              <w:jc w:val="center"/>
            </w:pPr>
            <w:r>
              <w:t xml:space="preserve">0.237</w:t>
            </w:r>
          </w:p>
        </w:tc>
        <w:tc>
          <w:tcPr/>
          <w:p>
            <w:pPr>
              <w:pStyle w:val="Compact"/>
              <w:jc w:val="center"/>
            </w:pPr>
            <w:r>
              <w:t xml:space="preserve">0.337</w:t>
            </w:r>
          </w:p>
        </w:tc>
        <w:tc>
          <w:tcPr/>
          <w:p>
            <w:pPr>
              <w:pStyle w:val="Compact"/>
              <w:jc w:val="center"/>
            </w:pPr>
            <w:r>
              <w:t xml:space="preserve">+0.101</w:t>
            </w:r>
          </w:p>
        </w:tc>
      </w:tr>
      <w:tr>
        <w:tc>
          <w:tcPr/>
          <w:p>
            <w:pPr>
              <w:pStyle w:val="Compact"/>
              <w:jc w:val="left"/>
            </w:pPr>
            <w:r>
              <w:t xml:space="preserve">CNAE-9</w:t>
            </w:r>
          </w:p>
        </w:tc>
        <w:tc>
          <w:tcPr/>
          <w:p>
            <w:pPr>
              <w:pStyle w:val="Compact"/>
              <w:jc w:val="center"/>
            </w:pPr>
            <w:r>
              <w:t xml:space="preserve">0.642</w:t>
            </w:r>
          </w:p>
        </w:tc>
        <w:tc>
          <w:tcPr/>
          <w:p>
            <w:pPr>
              <w:pStyle w:val="Compact"/>
              <w:jc w:val="center"/>
            </w:pPr>
            <w:r>
              <w:t xml:space="preserve">0.642</w:t>
            </w:r>
          </w:p>
        </w:tc>
        <w:tc>
          <w:tcPr/>
          <w:p>
            <w:pPr>
              <w:pStyle w:val="Compact"/>
              <w:jc w:val="center"/>
            </w:pPr>
            <w:r>
              <w:t xml:space="preserve">+0.000</w:t>
            </w:r>
          </w:p>
        </w:tc>
      </w:tr>
      <w:tr>
        <w:tc>
          <w:tcPr/>
          <w:p>
            <w:pPr>
              <w:pStyle w:val="Compact"/>
              <w:jc w:val="left"/>
            </w:pPr>
            <w:r>
              <w:t xml:space="preserve">COIL-20</w:t>
            </w:r>
          </w:p>
        </w:tc>
        <w:tc>
          <w:tcPr/>
          <w:p>
            <w:pPr>
              <w:pStyle w:val="Compact"/>
              <w:jc w:val="center"/>
            </w:pPr>
            <w:r>
              <w:t xml:space="preserve">0.754</w:t>
            </w:r>
          </w:p>
        </w:tc>
        <w:tc>
          <w:tcPr/>
          <w:p>
            <w:pPr>
              <w:pStyle w:val="Compact"/>
              <w:jc w:val="center"/>
            </w:pPr>
            <w:r>
              <w:t xml:space="preserve">0.789</w:t>
            </w:r>
          </w:p>
        </w:tc>
        <w:tc>
          <w:tcPr/>
          <w:p>
            <w:pPr>
              <w:pStyle w:val="Compact"/>
              <w:jc w:val="center"/>
            </w:pPr>
            <w:r>
              <w:t xml:space="preserve">+0.035</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0.861</w:t>
            </w:r>
          </w:p>
        </w:tc>
        <w:tc>
          <w:tcPr/>
          <w:p>
            <w:pPr>
              <w:pStyle w:val="Compact"/>
              <w:jc w:val="center"/>
            </w:pPr>
            <w:r>
              <w:t xml:space="preserve">+0.013</w:t>
            </w:r>
          </w:p>
        </w:tc>
      </w:tr>
      <w:tr>
        <w:tc>
          <w:tcPr/>
          <w:p>
            <w:pPr>
              <w:pStyle w:val="Compact"/>
              <w:jc w:val="left"/>
            </w:pPr>
            <w:r>
              <w:t xml:space="preserve">MFeat</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+0.000</w:t>
            </w:r>
          </w:p>
        </w:tc>
      </w:tr>
      <w:tr>
        <w:tc>
          <w:tcPr/>
          <w:p>
            <w:pPr>
              <w:pStyle w:val="Compact"/>
              <w:jc w:val="left"/>
            </w:pPr>
            <w:r>
              <w:t xml:space="preserve">Segment.</w:t>
            </w:r>
          </w:p>
        </w:tc>
        <w:tc>
          <w:tcPr/>
          <w:p>
            <w:pPr>
              <w:pStyle w:val="Compact"/>
              <w:jc w:val="center"/>
            </w:pPr>
            <w:r>
              <w:t xml:space="preserve">0.413</w:t>
            </w:r>
          </w:p>
        </w:tc>
        <w:tc>
          <w:tcPr/>
          <w:p>
            <w:pPr>
              <w:pStyle w:val="Compact"/>
              <w:jc w:val="center"/>
            </w:pPr>
            <w:r>
              <w:t xml:space="preserve">0.437</w:t>
            </w:r>
          </w:p>
        </w:tc>
        <w:tc>
          <w:tcPr/>
          <w:p>
            <w:pPr>
              <w:pStyle w:val="Compact"/>
              <w:jc w:val="center"/>
            </w:pPr>
            <w:r>
              <w:t xml:space="preserve">+0.024</w:t>
            </w:r>
          </w:p>
        </w:tc>
      </w:tr>
      <w:tr>
        <w:tc>
          <w:tcPr/>
          <w:p>
            <w:pPr>
              <w:pStyle w:val="Compact"/>
              <w:jc w:val="left"/>
            </w:pPr>
            <w:r>
              <w:t xml:space="preserve">ISOLET</w:t>
            </w:r>
          </w:p>
        </w:tc>
        <w:tc>
          <w:tcPr/>
          <w:p>
            <w:pPr>
              <w:pStyle w:val="Compact"/>
              <w:jc w:val="center"/>
            </w:pPr>
            <w:r>
              <w:t xml:space="preserve">0.476</w:t>
            </w:r>
          </w:p>
        </w:tc>
        <w:tc>
          <w:tcPr/>
          <w:p>
            <w:pPr>
              <w:pStyle w:val="Compact"/>
              <w:jc w:val="center"/>
            </w:pPr>
            <w:r>
              <w:t xml:space="preserve">0.516</w:t>
            </w:r>
          </w:p>
        </w:tc>
        <w:tc>
          <w:tcPr/>
          <w:p>
            <w:pPr>
              <w:pStyle w:val="Compact"/>
              <w:jc w:val="center"/>
            </w:pPr>
            <w:r>
              <w:t xml:space="preserve">+0.040</w:t>
            </w:r>
          </w:p>
        </w:tc>
      </w:tr>
      <w:tr>
        <w:tc>
          <w:tcPr/>
          <w:p>
            <w:pPr>
              <w:pStyle w:val="Compact"/>
              <w:jc w:val="left"/>
            </w:pPr>
            <w:r>
              <w:t xml:space="preserve">Satimage</w:t>
            </w:r>
          </w:p>
        </w:tc>
        <w:tc>
          <w:tcPr/>
          <w:p>
            <w:pPr>
              <w:pStyle w:val="Compact"/>
              <w:jc w:val="center"/>
            </w:pPr>
            <w:r>
              <w:t xml:space="preserve">0.525</w:t>
            </w:r>
          </w:p>
        </w:tc>
        <w:tc>
          <w:tcPr/>
          <w:p>
            <w:pPr>
              <w:pStyle w:val="Compact"/>
              <w:jc w:val="center"/>
            </w:pPr>
            <w:r>
              <w:t xml:space="preserve">0.541</w:t>
            </w:r>
          </w:p>
        </w:tc>
        <w:tc>
          <w:tcPr/>
          <w:p>
            <w:pPr>
              <w:pStyle w:val="Compact"/>
              <w:jc w:val="center"/>
            </w:pPr>
            <w:r>
              <w:t xml:space="preserve">+0.016</w:t>
            </w:r>
          </w:p>
        </w:tc>
      </w:tr>
      <w:tr>
        <w:tc>
          <w:tcPr/>
          <w:p>
            <w:pPr>
              <w:pStyle w:val="Compact"/>
              <w:jc w:val="left"/>
            </w:pPr>
            <w:r>
              <w:t xml:space="preserve">USPS</w:t>
            </w:r>
          </w:p>
        </w:tc>
        <w:tc>
          <w:tcPr/>
          <w:p>
            <w:pPr>
              <w:pStyle w:val="Compact"/>
              <w:jc w:val="center"/>
            </w:pPr>
            <w:r>
              <w:t xml:space="preserve">0.871</w:t>
            </w:r>
          </w:p>
        </w:tc>
        <w:tc>
          <w:tcPr/>
          <w:p>
            <w:pPr>
              <w:pStyle w:val="Compact"/>
              <w:jc w:val="center"/>
            </w:pPr>
            <w:r>
              <w:t xml:space="preserve">0.900</w:t>
            </w:r>
          </w:p>
        </w:tc>
        <w:tc>
          <w:tcPr/>
          <w:p>
            <w:pPr>
              <w:pStyle w:val="Compact"/>
              <w:jc w:val="center"/>
            </w:pPr>
            <w:r>
              <w:t xml:space="preserve">+0.029</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0.819</w:t>
            </w:r>
          </w:p>
        </w:tc>
        <w:tc>
          <w:tcPr/>
          <w:p>
            <w:pPr>
              <w:pStyle w:val="Compact"/>
              <w:jc w:val="center"/>
            </w:pPr>
            <w:r>
              <w:t xml:space="preserve">+0.008</w:t>
            </w:r>
          </w:p>
        </w:tc>
      </w:tr>
      <w:tr>
        <w:tc>
          <w:tcPr/>
          <w:p>
            <w:pPr>
              <w:pStyle w:val="Compact"/>
              <w:jc w:val="left"/>
            </w:pPr>
            <w:r>
              <w:rPr>
                <w:b/>
                <w:bCs/>
              </w:rPr>
              <w:t xml:space="preserve">Mean</w:t>
            </w:r>
          </w:p>
        </w:tc>
        <w:tc>
          <w:tcPr/>
          <w:p>
            <w:pPr>
              <w:pStyle w:val="Compact"/>
              <w:jc w:val="center"/>
            </w:pPr>
            <w:r>
              <w:rPr>
                <w:b/>
                <w:bCs/>
              </w:rPr>
              <w:t xml:space="preserve">0.623</w:t>
            </w:r>
          </w:p>
        </w:tc>
        <w:tc>
          <w:tcPr/>
          <w:p>
            <w:pPr>
              <w:pStyle w:val="Compact"/>
              <w:jc w:val="center"/>
            </w:pPr>
            <w:r>
              <w:t xml:space="preserve">0.646</w:t>
            </w:r>
          </w:p>
        </w:tc>
        <w:tc>
          <w:tcPr/>
          <w:p>
            <w:pPr>
              <w:pStyle w:val="Compact"/>
              <w:jc w:val="center"/>
            </w:pPr>
            <w:r>
              <w:t xml:space="preserve">+0.023</w:t>
            </w:r>
          </w:p>
        </w:tc>
      </w:tr>
    </w:tbl>
    <w:bookmarkEnd w:id="142"/>
    <w:bookmarkEnd w:id="143"/>
    <w:bookmarkStart w:id="144" w:name="snn-vs.-knn-graph-construction"/>
    <w:p>
      <w:pPr>
        <w:pStyle w:val="Heading2"/>
      </w:pPr>
      <w:r>
        <w:t xml:space="preserve">SNN vs. KNN Graph Construction</w:t>
      </w:r>
    </w:p>
    <w:p>
      <w:pPr>
        <w:pStyle w:val="FirstParagrap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pPr>
      <w:r>
        <w:t xml:space="preserve">Robustness</w:t>
      </w:r>
    </w:p>
    <w:p>
      <w:pPr>
        <w:pStyle w:val="FirstParagrap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pPr>
      <w:r>
        <w:t xml:space="preserve">Robustness of the deployable gate on controlled synthetic data (mean ARI over 3 seeds;</w:t>
      </w:r>
      <w:r>
        <w:t xml:space="preserve"> </w:t>
      </w:r>
      <w:r>
        <w:t xml:space="preserve">‘base’</w:t>
      </w:r>
      <w:r>
        <w:t xml:space="preserve"> </w:t>
      </w:r>
      <w:r>
        <w:t xml:space="preserve">is</w:t>
      </w:r>
      <w:r>
        <w:t xml:space="preserve"> </w:t>
      </w:r>
      <m:oMath>
        <m:r>
          <m:t>n</m:t>
        </m:r>
        <m:r>
          <m:rPr>
            <m:sty m:val="p"/>
          </m:rPr>
          <m:t>=</m:t>
        </m:r>
        <m:r>
          <m:t>2000</m:t>
        </m:r>
      </m:oMath>
      <w:r>
        <w:t xml:space="preserve">,</w:t>
      </w:r>
      <w:r>
        <w:t xml:space="preserve"> </w:t>
      </w:r>
      <m:oMath>
        <m:r>
          <m:t>d</m:t>
        </m:r>
        <m:r>
          <m:rPr>
            <m:sty m:val="p"/>
          </m:rPr>
          <m:t>=</m:t>
        </m:r>
        <m:r>
          <m:t>20</m:t>
        </m:r>
      </m:oMath>
      <w:r>
        <w:t xml:space="preserve"> </w:t>
      </w:r>
      <w:r>
        <w:t xml:space="preserve">all-informative,</w:t>
      </w:r>
      <w:r>
        <w:t xml:space="preserve"> </w:t>
      </w:r>
      <m:oMath>
        <m:r>
          <m:t>C</m:t>
        </m:r>
        <m:r>
          <m:rPr>
            <m:sty m:val="p"/>
          </m:rPr>
          <m:t>=</m:t>
        </m:r>
        <m:r>
          <m:t>10</m:t>
        </m:r>
      </m:oMath>
      <w:r>
        <w:t xml:space="preserve">, balanced, class-sep 1.0). The gate is robust to class imbalance, improves with cluster separation and with larger</w:t>
      </w:r>
      <w:r>
        <w:t xml:space="preserve"> </w:t>
      </w:r>
      <m:oMath>
        <m:r>
          <m:t>n</m:t>
        </m:r>
      </m:oMath>
      <w:r>
        <w:t xml:space="preserve">, but degrades sharply under many irrelevant dimensions—a limitation noted in §</w:t>
      </w:r>
      <w:hyperlink w:anchor="sec:disc">
        <w:r>
          <w:rPr>
            <w:rStyle w:val="Hyperlink"/>
          </w:rPr>
          <w:t xml:space="preserve">5</w:t>
        </w:r>
      </w:hyperlink>
      <w:r>
        <w:t xml:space="preserve">.</w:t>
      </w:r>
    </w:p>
    <w:tbl>
      <w:tblPr>
        <w:tblStyle w:val="Table"/>
        <w:tblW w:type="auto" w:w="0"/>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Pr>
      <w:tblGrid>
        <w:gridCol w:w="1980"/>
        <w:gridCol w:w="1980"/>
        <w:gridCol w:w="1980"/>
        <w:gridCol w:w="1980"/>
      </w:tblGrid>
      <w:tr>
        <w:trPr>
          <w:tblHeader w:val="on"/>
        </w:trPr>
        <w:tc>
          <w:tcPr/>
          <w:p>
            <w:pPr>
              <w:pStyle w:val="Compact"/>
              <w:jc w:val="left"/>
            </w:pPr>
            <w:r>
              <w:t xml:space="preserve">Stress axis</w:t>
            </w:r>
          </w:p>
        </w:tc>
        <w:tc>
          <w:tcPr/>
          <w:p>
            <w:pPr>
              <w:pStyle w:val="Compact"/>
              <w:jc w:val="left"/>
            </w:pPr>
            <w:r>
              <w:t xml:space="preserve">Level</w:t>
            </w:r>
          </w:p>
        </w:tc>
        <w:tc>
          <w:tcPr/>
          <w:p>
            <w:pPr>
              <w:pStyle w:val="Compact"/>
              <w:jc w:val="center"/>
            </w:pPr>
            <w:r>
              <w:t xml:space="preserve">Gate ARI</w:t>
            </w:r>
          </w:p>
        </w:tc>
        <w:tc>
          <w:tcPr/>
          <w:p>
            <w:pPr>
              <w:pStyle w:val="Compact"/>
              <w:jc w:val="center"/>
            </w:pPr>
            <w:r>
              <w:t xml:space="preserve">Baseline ARI</w:t>
            </w:r>
          </w:p>
        </w:tc>
      </w:tr>
      <w:tr>
        <w:tc>
          <w:tcPr/>
          <w:p>
            <w:pPr>
              <w:pStyle w:val="Compact"/>
              <w:jc w:val="left"/>
            </w:pPr>
            <w:r>
              <w:t xml:space="preserve">Imbalance</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3</w:t>
            </w:r>
            <m:oMath>
              <m:r>
                <m:rPr>
                  <m:sty m:val="p"/>
                </m:rPr>
                <m:t>×</m:t>
              </m:r>
            </m:oMath>
          </w:p>
        </w:tc>
        <w:tc>
          <w:tcPr/>
          <w:p>
            <w:pPr>
              <w:pStyle w:val="Compact"/>
              <w:jc w:val="center"/>
            </w:pPr>
            <w:r>
              <w:t xml:space="preserve">0.487</w:t>
            </w:r>
          </w:p>
        </w:tc>
        <w:tc>
          <w:tcPr/>
          <w:p>
            <w:pPr>
              <w:pStyle w:val="Compact"/>
              <w:jc w:val="center"/>
            </w:pPr>
            <w:r>
              <w:t xml:space="preserve">0.450</w:t>
            </w:r>
          </w:p>
        </w:tc>
      </w:tr>
      <w:tr>
        <w:tc>
          <w:tcPr/>
          <w:p>
            <w:pPr>
              <w:pStyle w:val="Compact"/>
            </w:pPr>
          </w:p>
        </w:tc>
        <w:tc>
          <w:tcPr/>
          <w:p>
            <w:pPr>
              <w:pStyle w:val="Compact"/>
              <w:jc w:val="left"/>
            </w:pPr>
            <w:r>
              <w:t xml:space="preserve">10</w:t>
            </w:r>
            <m:oMath>
              <m:r>
                <m:rPr>
                  <m:sty m:val="p"/>
                </m:rPr>
                <m:t>×</m:t>
              </m:r>
            </m:oMath>
          </w:p>
        </w:tc>
        <w:tc>
          <w:tcPr/>
          <w:p>
            <w:pPr>
              <w:pStyle w:val="Compact"/>
              <w:jc w:val="center"/>
            </w:pPr>
            <w:r>
              <w:t xml:space="preserve">0.605</w:t>
            </w:r>
          </w:p>
        </w:tc>
        <w:tc>
          <w:tcPr/>
          <w:p>
            <w:pPr>
              <w:pStyle w:val="Compact"/>
              <w:jc w:val="center"/>
            </w:pPr>
            <w:r>
              <w:t xml:space="preserve">0.605</w:t>
            </w:r>
          </w:p>
        </w:tc>
      </w:tr>
      <w:tr>
        <w:tc>
          <w:tcPr/>
          <w:p>
            <w:pPr>
              <w:pStyle w:val="Compact"/>
            </w:pPr>
          </w:p>
        </w:tc>
        <w:tc>
          <w:tcPr/>
          <w:p>
            <w:pPr>
              <w:pStyle w:val="Compact"/>
              <w:jc w:val="left"/>
            </w:pPr>
            <w:r>
              <w:t xml:space="preserve">30</w:t>
            </w:r>
            <m:oMath>
              <m:r>
                <m:rPr>
                  <m:sty m:val="p"/>
                </m:rPr>
                <m:t>×</m:t>
              </m:r>
            </m:oMath>
          </w:p>
        </w:tc>
        <w:tc>
          <w:tcPr/>
          <w:p>
            <w:pPr>
              <w:pStyle w:val="Compact"/>
              <w:jc w:val="center"/>
            </w:pPr>
            <w:r>
              <w:t xml:space="preserve">0.599</w:t>
            </w:r>
          </w:p>
        </w:tc>
        <w:tc>
          <w:tcPr/>
          <w:p>
            <w:pPr>
              <w:pStyle w:val="Compact"/>
              <w:jc w:val="center"/>
            </w:pPr>
            <w:r>
              <w:t xml:space="preserve">0.631</w:t>
            </w:r>
          </w:p>
        </w:tc>
      </w:tr>
      <w:tr>
        <w:tc>
          <w:tcPr/>
          <w:p>
            <w:pPr>
              <w:pStyle w:val="Compact"/>
              <w:jc w:val="left"/>
            </w:pPr>
            <w:r>
              <w:t xml:space="preserve">Separation</w:t>
            </w:r>
          </w:p>
        </w:tc>
        <w:tc>
          <w:tcPr/>
          <w:p>
            <w:pPr>
              <w:pStyle w:val="Compact"/>
              <w:jc w:val="left"/>
            </w:pPr>
            <w:r>
              <w:t xml:space="preserve">0.5</w:t>
            </w:r>
          </w:p>
        </w:tc>
        <w:tc>
          <w:tcPr/>
          <w:p>
            <w:pPr>
              <w:pStyle w:val="Compact"/>
              <w:jc w:val="center"/>
            </w:pPr>
            <w:r>
              <w:t xml:space="preserve">0.059</w:t>
            </w:r>
          </w:p>
        </w:tc>
        <w:tc>
          <w:tcPr/>
          <w:p>
            <w:pPr>
              <w:pStyle w:val="Compact"/>
              <w:jc w:val="center"/>
            </w:pPr>
            <w:r>
              <w:t xml:space="preserve">0.059</w:t>
            </w:r>
          </w:p>
        </w:tc>
      </w:tr>
      <w:tr>
        <w:tc>
          <w:tcPr/>
          <w:p>
            <w:pPr>
              <w:pStyle w:val="Compact"/>
            </w:pPr>
          </w:p>
        </w:tc>
        <w:tc>
          <w:tcPr/>
          <w:p>
            <w:pPr>
              <w:pStyle w:val="Compact"/>
              <w:jc w:val="left"/>
            </w:pPr>
            <w:r>
              <w:t xml:space="preserve">0.75</w:t>
            </w:r>
          </w:p>
        </w:tc>
        <w:tc>
          <w:tcPr/>
          <w:p>
            <w:pPr>
              <w:pStyle w:val="Compact"/>
              <w:jc w:val="center"/>
            </w:pPr>
            <w:r>
              <w:t xml:space="preserve">0.222</w:t>
            </w:r>
          </w:p>
        </w:tc>
        <w:tc>
          <w:tcPr/>
          <w:p>
            <w:pPr>
              <w:pStyle w:val="Compact"/>
              <w:jc w:val="center"/>
            </w:pPr>
            <w:r>
              <w:t xml:space="preserve">0.178</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1.5</w:t>
            </w:r>
          </w:p>
        </w:tc>
        <w:tc>
          <w:tcPr/>
          <w:p>
            <w:pPr>
              <w:pStyle w:val="Compact"/>
              <w:jc w:val="center"/>
            </w:pPr>
            <w:r>
              <w:t xml:space="preserve">0.849</w:t>
            </w:r>
          </w:p>
        </w:tc>
        <w:tc>
          <w:tcPr/>
          <w:p>
            <w:pPr>
              <w:pStyle w:val="Compact"/>
              <w:jc w:val="center"/>
            </w:pPr>
            <w:r>
              <w:t xml:space="preserve">0.830</w:t>
            </w:r>
          </w:p>
        </w:tc>
      </w:tr>
      <w:tr>
        <w:tc>
          <w:tcPr/>
          <w:p>
            <w:pPr>
              <w:pStyle w:val="Compact"/>
            </w:pPr>
          </w:p>
        </w:tc>
        <w:tc>
          <w:tcPr/>
          <w:p>
            <w:pPr>
              <w:pStyle w:val="Compact"/>
              <w:jc w:val="left"/>
            </w:pPr>
            <w:r>
              <w:t xml:space="preserve">2.0</w:t>
            </w:r>
          </w:p>
        </w:tc>
        <w:tc>
          <w:tcPr/>
          <w:p>
            <w:pPr>
              <w:pStyle w:val="Compact"/>
              <w:jc w:val="center"/>
            </w:pPr>
            <w:r>
              <w:t xml:space="preserve">0.966</w:t>
            </w:r>
          </w:p>
        </w:tc>
        <w:tc>
          <w:tcPr/>
          <w:p>
            <w:pPr>
              <w:pStyle w:val="Compact"/>
              <w:jc w:val="center"/>
            </w:pPr>
            <w:r>
              <w:t xml:space="preserve">0.966</w:t>
            </w:r>
          </w:p>
        </w:tc>
      </w:tr>
      <w:tr>
        <w:tc>
          <w:tcPr/>
          <w:p>
            <w:pPr>
              <w:pStyle w:val="Compact"/>
              <w:jc w:val="left"/>
            </w:pPr>
            <w:r>
              <w:t xml:space="preserve">Irrelevant dims</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w:t>
            </w:r>
          </w:p>
        </w:tc>
        <w:tc>
          <w:tcPr/>
          <w:p>
            <w:pPr>
              <w:pStyle w:val="Compact"/>
              <w:jc w:val="center"/>
            </w:pPr>
            <w:r>
              <w:t xml:space="preserve">0.017</w:t>
            </w:r>
          </w:p>
        </w:tc>
        <w:tc>
          <w:tcPr/>
          <w:p>
            <w:pPr>
              <w:pStyle w:val="Compact"/>
              <w:jc w:val="center"/>
            </w:pPr>
            <w:r>
              <w:t xml:space="preserve">0.017</w:t>
            </w:r>
          </w:p>
        </w:tc>
      </w:tr>
      <w:tr>
        <w:tc>
          <w:tcPr/>
          <w:p>
            <w:pPr>
              <w:pStyle w:val="Compact"/>
            </w:pPr>
          </w:p>
        </w:tc>
        <w:tc>
          <w:tcPr/>
          <w:p>
            <w:pPr>
              <w:pStyle w:val="Compact"/>
              <w:jc w:val="left"/>
            </w:pPr>
            <w:r>
              <w:t xml:space="preserve">+200</w:t>
            </w:r>
          </w:p>
        </w:tc>
        <w:tc>
          <w:tcPr/>
          <w:p>
            <w:pPr>
              <w:pStyle w:val="Compact"/>
              <w:jc w:val="center"/>
            </w:pPr>
            <w:r>
              <w:t xml:space="preserve">0.002</w:t>
            </w:r>
          </w:p>
        </w:tc>
        <w:tc>
          <w:tcPr/>
          <w:p>
            <w:pPr>
              <w:pStyle w:val="Compact"/>
              <w:jc w:val="center"/>
            </w:pPr>
            <w:r>
              <w:t xml:space="preserve">0.002</w:t>
            </w:r>
          </w:p>
        </w:tc>
      </w:tr>
      <w:tr>
        <w:tc>
          <w:tcPr/>
          <w:p>
            <w:pPr>
              <w:pStyle w:val="Compact"/>
            </w:pPr>
          </w:p>
        </w:tc>
        <w:tc>
          <w:tcPr/>
          <w:p>
            <w:pPr>
              <w:pStyle w:val="Compact"/>
              <w:jc w:val="left"/>
            </w:pPr>
            <w:r>
              <w:t xml:space="preserve">+500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Sample size</w:t>
            </w:r>
            <w:r>
              <w:t xml:space="preserve"> </w:t>
            </w:r>
            <m:oMath>
              <m:r>
                <m:t>n</m:t>
              </m:r>
            </m:oMath>
          </w:p>
        </w:tc>
        <w:tc>
          <w:tcPr/>
          <w:p>
            <w:pPr>
              <w:pStyle w:val="Compact"/>
              <w:jc w:val="left"/>
            </w:pPr>
            <w:r>
              <w:t xml:space="preserve">1000</w:t>
            </w:r>
          </w:p>
        </w:tc>
        <w:tc>
          <w:tcPr/>
          <w:p>
            <w:pPr>
              <w:pStyle w:val="Compact"/>
              <w:jc w:val="center"/>
            </w:pPr>
            <w:r>
              <w:t xml:space="preserve">0.324</w:t>
            </w:r>
          </w:p>
        </w:tc>
        <w:tc>
          <w:tcPr/>
          <w:p>
            <w:pPr>
              <w:pStyle w:val="Compact"/>
              <w:jc w:val="center"/>
            </w:pPr>
            <w:r>
              <w:t xml:space="preserve">0.229</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5000</w:t>
            </w:r>
          </w:p>
        </w:tc>
        <w:tc>
          <w:tcPr/>
          <w:p>
            <w:pPr>
              <w:pStyle w:val="Compact"/>
              <w:jc w:val="center"/>
            </w:pPr>
            <w:r>
              <w:t xml:space="preserve">0.649</w:t>
            </w:r>
          </w:p>
        </w:tc>
        <w:tc>
          <w:tcPr/>
          <w:p>
            <w:pPr>
              <w:pStyle w:val="Compact"/>
              <w:jc w:val="center"/>
            </w:pPr>
            <w:r>
              <w:t xml:space="preserve">0.595</w:t>
            </w:r>
          </w:p>
        </w:tc>
      </w:tr>
      <w:tr>
        <w:tc>
          <w:tcPr/>
          <w:p>
            <w:pPr>
              <w:pStyle w:val="Compact"/>
            </w:pPr>
          </w:p>
        </w:tc>
        <w:tc>
          <w:tcPr/>
          <w:p>
            <w:pPr>
              <w:pStyle w:val="Compact"/>
              <w:jc w:val="left"/>
            </w:pPr>
            <w:r>
              <w:t xml:space="preserve">10000</w:t>
            </w:r>
          </w:p>
        </w:tc>
        <w:tc>
          <w:tcPr/>
          <w:p>
            <w:pPr>
              <w:pStyle w:val="Compact"/>
              <w:jc w:val="center"/>
            </w:pPr>
            <w:r>
              <w:t xml:space="preserve">0.787</w:t>
            </w:r>
          </w:p>
        </w:tc>
        <w:tc>
          <w:tcPr/>
          <w:p>
            <w:pPr>
              <w:pStyle w:val="Compact"/>
              <w:jc w:val="center"/>
            </w:pPr>
            <w:r>
              <w:t xml:space="preserve">0.775</w:t>
            </w:r>
          </w:p>
        </w:tc>
      </w:tr>
    </w:tbl>
    <w:bookmarkEnd w:id="145"/>
    <w:bookmarkEnd w:id="146"/>
    <w:bookmarkStart w:id="147" w:name="limitations"/>
    <w:p>
      <w:pPr>
        <w:pStyle w:val="Heading2"/>
      </w:pPr>
      <w:r>
        <w:t xml:space="preserve">Limitations</w:t>
      </w:r>
    </w:p>
    <w:p>
      <w:pPr>
        <w:pStyle w:val="FirstParagrap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pPr>
      <w:r>
        <w:t xml:space="preserve">Conclusion</w:t>
      </w:r>
    </w:p>
    <w:p>
      <w:pPr>
        <w:pStyle w:val="FirstParagrap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bookmarkEnd w:id="150"/>
    <w:bookmarkStart w:id="151" w:name="conflicts-of-interest"/>
    <w:p>
      <w:pPr>
        <w:pStyle w:val="Heading1"/>
      </w:pPr>
      <w:r>
        <w:t xml:space="preserve">Conflicts of Interest</w:t>
      </w:r>
    </w:p>
    <w:p>
      <w:pPr>
        <w:pStyle w:val="FirstParagraph"/>
      </w:pPr>
      <w:r>
        <w:t xml:space="preserve">The author declares no conflict of interest.</w:t>
      </w:r>
    </w:p>
    <w:bookmarkEnd w:id="151"/>
    <w:bookmarkStart w:id="152" w:name="acknowledgments"/>
    <w:p>
      <w:pPr>
        <w:pStyle w:val="Heading1"/>
      </w:pPr>
      <w:r>
        <w:t xml:space="preserve">Acknowledgments</w:t>
      </w:r>
    </w:p>
    <w:p>
      <w:pPr>
        <w:pStyle w:val="FirstParagraph"/>
      </w:pPr>
      <w:r>
        <w:t xml:space="preserve">The author received no specific grant for this research from any funding agency in the public, commercial, or not-for-profit sectors.</w:t>
      </w:r>
    </w:p>
    <w:bookmarkEnd w:id="152"/>
    <w:bookmarkStart w:id="153" w:name="references"/>
    <w:p>
      <w:pPr>
        <w:pStyle w:val="Heading1"/>
      </w:pPr>
      <w:r>
        <w:t xml:space="preserve">References</w:t>
      </w:r>
    </w:p>
    <w:p>
      <w:pPr>
        <w:pStyle w:val="FirstParagraph"/>
      </w:pPr>
      <w:r>
        <w:t xml:space="preserve">[1] A. K. Jain,</w:t>
      </w:r>
      <w:r>
        <w:t xml:space="preserve"> </w:t>
      </w:r>
      <w:r>
        <w:t xml:space="preserve">“Data clustering: 50 years beyond K-means”</w:t>
      </w:r>
      <w:r>
        <w:t xml:space="preserve">,</w:t>
      </w:r>
      <w:r>
        <w:t xml:space="preserve"> </w:t>
      </w:r>
      <w:r>
        <w:rPr>
          <w:i/>
          <w:iCs/>
        </w:rPr>
        <w:t xml:space="preserve">Pattern Recognition Letters</w:t>
      </w:r>
      <w:r>
        <w:t xml:space="preserve">, Vol. 31, No. 8, pp. 573-580, 2010.</w:t>
      </w:r>
    </w:p>
    <w:p>
      <w:pPr>
        <w:pStyle w:val="BodyText"/>
      </w:pPr>
      <w:r>
        <w:t xml:space="preserve">[2] M. Steinbach, L. Ertöz, and V. Kumar,</w:t>
      </w:r>
      <w:r>
        <w:t xml:space="preserve"> </w:t>
      </w:r>
      <w:r>
        <w:t xml:space="preserve">“The challenges of clustering high dimensional data”</w:t>
      </w:r>
      <w:r>
        <w:t xml:space="preserve">, in</w:t>
      </w:r>
      <w:r>
        <w:t xml:space="preserve"> </w:t>
      </w:r>
      <w:r>
        <w:rPr>
          <w:i/>
          <w:iCs/>
        </w:rPr>
        <w:t xml:space="preserve">New Directions in Statistical Physics</w:t>
      </w:r>
      <w:r>
        <w:t xml:space="preserve">, Springer, 2004, pp. 273-309.</w:t>
      </w:r>
    </w:p>
    <w:p>
      <w:pPr>
        <w:pStyle w:val="BodyText"/>
      </w:pPr>
      <w:r>
        <w:t xml:space="preserve">[3] S. Lloyd,</w:t>
      </w:r>
      <w:r>
        <w:t xml:space="preserve"> </w:t>
      </w:r>
      <w:r>
        <w:t xml:space="preserve">“Least squares quantization in PCM”</w:t>
      </w:r>
      <w:r>
        <w:t xml:space="preserve">,</w:t>
      </w:r>
      <w:r>
        <w:t xml:space="preserve"> </w:t>
      </w:r>
      <w:r>
        <w:rPr>
          <w:i/>
          <w:iCs/>
        </w:rPr>
        <w:t xml:space="preserve">IEEE Trans. Inf. Theory</w:t>
      </w:r>
      <w:r>
        <w:t xml:space="preserve">, Vol. 28, No. 2, pp. 129-137, 1982.</w:t>
      </w:r>
    </w:p>
    <w:p>
      <w:pPr>
        <w:pStyle w:val="BodyText"/>
      </w:pPr>
      <w:r>
        <w:t xml:space="preserve">[4] A. Y. Ng, M. I. Jordan, and Y. Weiss,</w:t>
      </w:r>
      <w:r>
        <w:t xml:space="preserve"> </w:t>
      </w:r>
      <w:r>
        <w:t xml:space="preserve">“On spectral clustering: Analysis and an algorithm”</w:t>
      </w:r>
      <w:r>
        <w:t xml:space="preserve">, in</w:t>
      </w:r>
      <w:r>
        <w:t xml:space="preserve"> </w:t>
      </w:r>
      <w:r>
        <w:rPr>
          <w:i/>
          <w:iCs/>
        </w:rPr>
        <w:t xml:space="preserve">Proc. NeurIPS</w:t>
      </w:r>
      <w:r>
        <w:t xml:space="preserve">, 2001, pp. 849-856.</w:t>
      </w:r>
    </w:p>
    <w:p>
      <w:pPr>
        <w:pStyle w:val="BodyText"/>
      </w:pPr>
      <w:r>
        <w:t xml:space="preserve">[5] R. J. G. B. Campello, D. Moulavi, and J. Sander,</w:t>
      </w:r>
      <w:r>
        <w:t xml:space="preserve"> </w:t>
      </w:r>
      <w:r>
        <w:t xml:space="preserve">“Density-based clustering based on hierarchical density estimates”</w:t>
      </w:r>
      <w:r>
        <w:t xml:space="preserve">, in</w:t>
      </w:r>
      <w:r>
        <w:t xml:space="preserve"> </w:t>
      </w:r>
      <w:r>
        <w:rPr>
          <w:i/>
          <w:iCs/>
        </w:rPr>
        <w:t xml:space="preserve">Proc. PAKDD</w:t>
      </w:r>
      <w:r>
        <w:t xml:space="preserve">, Springer, 2013, pp. 160-172.</w:t>
      </w:r>
    </w:p>
    <w:p>
      <w:pPr>
        <w:pStyle w:val="BodyText"/>
      </w:pPr>
      <w:r>
        <w:t xml:space="preserve">[6] S. E. Schaeffer,</w:t>
      </w:r>
      <w:r>
        <w:t xml:space="preserve"> </w:t>
      </w:r>
      <w:r>
        <w:t xml:space="preserve">“Graph clustering”</w:t>
      </w:r>
      <w:r>
        <w:t xml:space="preserve">,</w:t>
      </w:r>
      <w:r>
        <w:t xml:space="preserve"> </w:t>
      </w:r>
      <w:r>
        <w:rPr>
          <w:i/>
          <w:iCs/>
        </w:rPr>
        <w:t xml:space="preserve">Computer Science Review</w:t>
      </w:r>
      <w:r>
        <w:t xml:space="preserve">, Vol. 1, No. 1, pp. 27-64, 2007.</w:t>
      </w:r>
    </w:p>
    <w:p>
      <w:pPr>
        <w:pStyle w:val="BodyText"/>
      </w:pPr>
      <w:r>
        <w:t xml:space="preserve">[7] V. D. Blondel, J.-L. Guillaume, R. Lambiotte, and E. Lefebvre,</w:t>
      </w:r>
      <w:r>
        <w:t xml:space="preserve"> </w:t>
      </w:r>
      <w:r>
        <w:t xml:space="preserve">“Fast unfolding of communities in large networks”</w:t>
      </w:r>
      <w:r>
        <w:t xml:space="preserve">,</w:t>
      </w:r>
      <w:r>
        <w:t xml:space="preserve"> </w:t>
      </w:r>
      <w:r>
        <w:rPr>
          <w:i/>
          <w:iCs/>
        </w:rPr>
        <w:t xml:space="preserve">J. Stat. Mech.</w:t>
      </w:r>
      <w:r>
        <w:t xml:space="preserve">, Vol. 2008, No. 10, p. P10008, 2008.</w:t>
      </w:r>
    </w:p>
    <w:p>
      <w:pPr>
        <w:pStyle w:val="BodyText"/>
      </w:pPr>
      <w:r>
        <w:t xml:space="preserve">[8] V. A. Traag, L. Waltman, and N. J. van Eck,</w:t>
      </w:r>
      <w:r>
        <w:t xml:space="preserve"> </w:t>
      </w:r>
      <w:r>
        <w:t xml:space="preserve">“From Louvain to Leiden: guaranteeing well-connected communities”</w:t>
      </w:r>
      <w:r>
        <w:t xml:space="preserve">,</w:t>
      </w:r>
      <w:r>
        <w:t xml:space="preserve"> </w:t>
      </w:r>
      <w:r>
        <w:rPr>
          <w:i/>
          <w:iCs/>
        </w:rPr>
        <w:t xml:space="preserve">Scientific Reports</w:t>
      </w:r>
      <w:r>
        <w:t xml:space="preserve">, Vol. 9, No. 1, p. 5233, 2019.</w:t>
      </w:r>
    </w:p>
    <w:p>
      <w:pPr>
        <w:pStyle w:val="BodyText"/>
      </w:pPr>
      <w:r>
        <w:t xml:space="preserve">[9] I. T. Jolliffe,</w:t>
      </w:r>
      <w:r>
        <w:t xml:space="preserve"> </w:t>
      </w:r>
      <w:r>
        <w:rPr>
          <w:i/>
          <w:iCs/>
        </w:rPr>
        <w:t xml:space="preserve">Principal Component Analysis</w:t>
      </w:r>
      <w:r>
        <w:t xml:space="preserve">, 2nd ed. Springer, 2002.</w:t>
      </w:r>
    </w:p>
    <w:p>
      <w:pPr>
        <w:pStyle w:val="BodyText"/>
      </w:pPr>
      <w:r>
        <w:t xml:space="preserve">[10] L. McInnes, J. Healy, and J. Melville,</w:t>
      </w:r>
      <w:r>
        <w:t xml:space="preserve"> </w:t>
      </w:r>
      <w:r>
        <w:t xml:space="preserve">“UMAP: Uniform Manifold Approximation and Projection for dimension reduction”</w:t>
      </w:r>
      <w:r>
        <w:t xml:space="preserve">,</w:t>
      </w:r>
      <w:r>
        <w:t xml:space="preserve"> </w:t>
      </w:r>
      <w:r>
        <w:rPr>
          <w:i/>
          <w:iCs/>
        </w:rPr>
        <w:t xml:space="preserve">arXiv:1802.03426</w:t>
      </w:r>
      <w:r>
        <w:t xml:space="preserve">, 2018.</w:t>
      </w:r>
    </w:p>
    <w:p>
      <w:pPr>
        <w:pStyle w:val="BodyText"/>
      </w:pPr>
      <w:r>
        <w:t xml:space="preserve">[11] L. van der Maaten and G. Hinton,</w:t>
      </w:r>
      <w:r>
        <w:t xml:space="preserve"> </w:t>
      </w:r>
      <w:r>
        <w:t xml:space="preserve">“Visualizing data using t-SNE”</w:t>
      </w:r>
      <w:r>
        <w:t xml:space="preserve">,</w:t>
      </w:r>
      <w:r>
        <w:t xml:space="preserve"> </w:t>
      </w:r>
      <w:r>
        <w:rPr>
          <w:i/>
          <w:iCs/>
        </w:rPr>
        <w:t xml:space="preserve">J. Mach. Learn. Res.</w:t>
      </w:r>
      <w:r>
        <w:t xml:space="preserve">, Vol. 9, pp. 2579-2605, 2008.</w:t>
      </w:r>
    </w:p>
    <w:p>
      <w:pPr>
        <w:pStyle w:val="BodyText"/>
      </w:pPr>
      <w:r>
        <w:t xml:space="preserve">[12] R. Storn and K. Price,</w:t>
      </w:r>
      <w:r>
        <w:t xml:space="preserve"> </w:t>
      </w:r>
      <w:r>
        <w:t xml:space="preserve">“Differential evolution—a simple and efficient heuristic for global optimization over continuous spaces”</w:t>
      </w:r>
      <w:r>
        <w:t xml:space="preserve">,</w:t>
      </w:r>
      <w:r>
        <w:t xml:space="preserve"> </w:t>
      </w:r>
      <w:r>
        <w:rPr>
          <w:i/>
          <w:iCs/>
        </w:rPr>
        <w:t xml:space="preserve">J. Global Optim.</w:t>
      </w:r>
      <w:r>
        <w:t xml:space="preserve">, Vol. 11, No. 4, pp. 341-359, 1997.</w:t>
      </w:r>
    </w:p>
    <w:p>
      <w:pPr>
        <w:pStyle w:val="BodyText"/>
      </w:pPr>
      <w:r>
        <w:t xml:space="preserve">[13] S. Mirjalili, S. M. Mirjalili, and A. Lewis,</w:t>
      </w:r>
      <w:r>
        <w:t xml:space="preserve"> </w:t>
      </w:r>
      <w:r>
        <w:t xml:space="preserve">“Grey Wolf Optimizer”</w:t>
      </w:r>
      <w:r>
        <w:t xml:space="preserve">,</w:t>
      </w:r>
      <w:r>
        <w:t xml:space="preserve"> </w:t>
      </w:r>
      <w:r>
        <w:rPr>
          <w:i/>
          <w:iCs/>
        </w:rPr>
        <w:t xml:space="preserve">Advances in Engineering Software</w:t>
      </w:r>
      <w:r>
        <w:t xml:space="preserve">, Vol. 69, pp. 46-61, 2014.</w:t>
      </w:r>
    </w:p>
    <w:p>
      <w:pPr>
        <w:pStyle w:val="BodyText"/>
      </w:pPr>
      <w:r>
        <w:t xml:space="preserve">[14] X.-S. Yang,</w:t>
      </w:r>
      <w:r>
        <w:t xml:space="preserve"> </w:t>
      </w:r>
      <w:r>
        <w:rPr>
          <w:i/>
          <w:iCs/>
        </w:rPr>
        <w:t xml:space="preserve">Nature-Inspired Metaheuristic Algorithms</w:t>
      </w:r>
      <w:r>
        <w:t xml:space="preserve">, 2nd ed. Luniver Press, 2010.</w:t>
      </w:r>
    </w:p>
    <w:p>
      <w:pPr>
        <w:pStyle w:val="BodyText"/>
      </w:pPr>
      <w:r>
        <w:t xml:space="preserve">[15] H. Faris, I. Aljarah, M. A. Al-Betar, and S. Mirjalili,</w:t>
      </w:r>
      <w:r>
        <w:t xml:space="preserve"> </w:t>
      </w:r>
      <w:r>
        <w:t xml:space="preserve">“Grey wolf optimizer: a review of recent variants and applications”</w:t>
      </w:r>
      <w:r>
        <w:t xml:space="preserve">,</w:t>
      </w:r>
      <w:r>
        <w:t xml:space="preserve"> </w:t>
      </w:r>
      <w:r>
        <w:rPr>
          <w:i/>
          <w:iCs/>
        </w:rPr>
        <w:t xml:space="preserve">Neural Computing and Applications</w:t>
      </w:r>
      <w:r>
        <w:t xml:space="preserve">, Vol. 30, No. 2, pp. 413-435, 2018.</w:t>
      </w:r>
    </w:p>
    <w:p>
      <w:pPr>
        <w:pStyle w:val="BodyText"/>
      </w:pPr>
      <w:r>
        <w:t xml:space="preserve">[16] L. Ertöz, M. Steinbach, and V. Kumar,</w:t>
      </w:r>
      <w:r>
        <w:t xml:space="preserve"> </w:t>
      </w:r>
      <w:r>
        <w:t xml:space="preserve">“Finding clusters of different sizes, shapes, and densities in noisy, high dimensional data”</w:t>
      </w:r>
      <w:r>
        <w:t xml:space="preserve">, in</w:t>
      </w:r>
      <w:r>
        <w:t xml:space="preserve"> </w:t>
      </w:r>
      <w:r>
        <w:rPr>
          <w:i/>
          <w:iCs/>
        </w:rPr>
        <w:t xml:space="preserve">Proc. SIAM Int. Conf. Data Mining</w:t>
      </w:r>
      <w:r>
        <w:t xml:space="preserve">, 2003, pp. 47-58.</w:t>
      </w:r>
    </w:p>
    <w:p>
      <w:pPr>
        <w:pStyle w:val="BodyText"/>
      </w:pPr>
      <w:r>
        <w:t xml:space="preserve">[17] Y. Wang and M. J. Samonte,</w:t>
      </w:r>
      <w:r>
        <w:t xml:space="preserve"> </w:t>
      </w:r>
      <w:r>
        <w:t xml:space="preserve">“Density peak clustering algorithm based on adaptive K-nearest neighbors for manifold data”</w:t>
      </w:r>
      <w:r>
        <w:t xml:space="preserve">,</w:t>
      </w:r>
      <w:r>
        <w:t xml:space="preserve"> </w:t>
      </w:r>
      <w:r>
        <w:rPr>
          <w:i/>
          <w:iCs/>
        </w:rPr>
        <w:t xml:space="preserve">Discover Applied Sciences</w:t>
      </w:r>
      <w:r>
        <w:t xml:space="preserve">, Vol. 8, art. 165, 2026.</w:t>
      </w:r>
    </w:p>
    <w:p>
      <w:pPr>
        <w:pStyle w:val="BodyText"/>
      </w:pPr>
      <w:r>
        <w:t xml:space="preserve">[18] A. Strehl and J. Ghosh,</w:t>
      </w:r>
      <w:r>
        <w:t xml:space="preserve"> </w:t>
      </w:r>
      <w:r>
        <w:t xml:space="preserve">“Cluster ensembles—a knowledge reuse framework for combining multiple partitions”</w:t>
      </w:r>
      <w:r>
        <w:t xml:space="preserve">,</w:t>
      </w:r>
      <w:r>
        <w:t xml:space="preserve"> </w:t>
      </w:r>
      <w:r>
        <w:rPr>
          <w:i/>
          <w:iCs/>
        </w:rPr>
        <w:t xml:space="preserve">J. Mach. Learn. Res.</w:t>
      </w:r>
      <w:r>
        <w:t xml:space="preserve">, Vol. 3, pp. 583-617, 2002.</w:t>
      </w:r>
    </w:p>
    <w:p>
      <w:pPr>
        <w:pStyle w:val="BodyText"/>
      </w:pPr>
      <w:r>
        <w:t xml:space="preserve">[19] A. L. N. Fred and A. K. Jain,</w:t>
      </w:r>
      <w:r>
        <w:t xml:space="preserve"> </w:t>
      </w:r>
      <w:r>
        <w:t xml:space="preserve">“Combining multiple clusterings using evidence accumulation”</w:t>
      </w:r>
      <w:r>
        <w:t xml:space="preserve">,</w:t>
      </w:r>
      <w:r>
        <w:t xml:space="preserve"> </w:t>
      </w:r>
      <w:r>
        <w:rPr>
          <w:i/>
          <w:iCs/>
        </w:rPr>
        <w:t xml:space="preserve">IEEE Trans. Pattern Anal. Mach. Intell.</w:t>
      </w:r>
      <w:r>
        <w:t xml:space="preserve">, Vol. 27, No. 6, pp. 835-850, 2005.</w:t>
      </w:r>
    </w:p>
    <w:p>
      <w:pPr>
        <w:pStyle w:val="BodyText"/>
      </w:pPr>
      <w:r>
        <w:t xml:space="preserve">[20] S. Vega-Pons and J. Ruiz-Shulcloper,</w:t>
      </w:r>
      <w:r>
        <w:t xml:space="preserve"> </w:t>
      </w:r>
      <w:r>
        <w:t xml:space="preserve">“A survey of clustering ensemble algorithms”</w:t>
      </w:r>
      <w:r>
        <w:t xml:space="preserve">,</w:t>
      </w:r>
      <w:r>
        <w:t xml:space="preserve"> </w:t>
      </w:r>
      <w:r>
        <w:rPr>
          <w:i/>
          <w:iCs/>
        </w:rPr>
        <w:t xml:space="preserve">Int. J. Pattern Recognit. Artif. Intell.</w:t>
      </w:r>
      <w:r>
        <w:t xml:space="preserve">, Vol. 25, No. 3, pp. 337-372, 2011.</w:t>
      </w:r>
    </w:p>
    <w:p>
      <w:pPr>
        <w:pStyle w:val="BodyText"/>
      </w:pPr>
      <w:r>
        <w:t xml:space="preserve">[21] L. Hubert and P. Arabie,</w:t>
      </w:r>
      <w:r>
        <w:t xml:space="preserve"> </w:t>
      </w:r>
      <w:r>
        <w:t xml:space="preserve">“Comparing partitions”</w:t>
      </w:r>
      <w:r>
        <w:t xml:space="preserve">,</w:t>
      </w:r>
      <w:r>
        <w:t xml:space="preserve"> </w:t>
      </w:r>
      <w:r>
        <w:rPr>
          <w:i/>
          <w:iCs/>
        </w:rPr>
        <w:t xml:space="preserve">J. Classification</w:t>
      </w:r>
      <w:r>
        <w:t xml:space="preserve">, Vol. 2, No. 1, pp. 193-218, 1985.</w:t>
      </w:r>
    </w:p>
    <w:p>
      <w:pPr>
        <w:pStyle w:val="BodyText"/>
      </w:pPr>
      <w:r>
        <w:t xml:space="preserve">[22] Y. Yang, D. Xu, F. Nie, S. Yan, and Y. Zhuang,</w:t>
      </w:r>
      <w:r>
        <w:t xml:space="preserve"> </w:t>
      </w:r>
      <w:r>
        <w:t xml:space="preserve">“Image clustering using local discriminant models and global integration”</w:t>
      </w:r>
      <w:r>
        <w:t xml:space="preserve">,</w:t>
      </w:r>
      <w:r>
        <w:t xml:space="preserve"> </w:t>
      </w:r>
      <w:r>
        <w:rPr>
          <w:i/>
          <w:iCs/>
        </w:rPr>
        <w:t xml:space="preserve">IEEE Trans. Image Process.</w:t>
      </w:r>
      <w:r>
        <w:t xml:space="preserve">, Vol. 19, No. 10, pp. 2761-2773, 2010.</w:t>
      </w:r>
    </w:p>
    <w:p>
      <w:pPr>
        <w:pStyle w:val="BodyText"/>
      </w:pPr>
      <w:r>
        <w:t xml:space="preserve">[23] S. Das, A. Abraham, and A. Konar,</w:t>
      </w:r>
      <w:r>
        <w:t xml:space="preserve"> </w:t>
      </w:r>
      <w:r>
        <w:t xml:space="preserve">“Automatic clustering using an improved differential evolution algorithm”</w:t>
      </w:r>
      <w:r>
        <w:t xml:space="preserve">,</w:t>
      </w:r>
      <w:r>
        <w:t xml:space="preserve"> </w:t>
      </w:r>
      <w:r>
        <w:rPr>
          <w:i/>
          <w:iCs/>
        </w:rPr>
        <w:t xml:space="preserve">IEEE Trans. Syst., Man, Cybern. A</w:t>
      </w:r>
      <w:r>
        <w:t xml:space="preserve">, Vol. 38, No. 1, pp. 218-237, 2008.</w:t>
      </w:r>
    </w:p>
    <w:p>
      <w:pPr>
        <w:pStyle w:val="BodyText"/>
      </w:pPr>
      <w:r>
        <w:t xml:space="preserve">[24] E. Becht</w:t>
      </w:r>
      <w:r>
        <w:t xml:space="preserve"> </w:t>
      </w:r>
      <w:r>
        <w:rPr>
          <w:i/>
          <w:iCs/>
        </w:rPr>
        <w:t xml:space="preserve">et al.</w:t>
      </w:r>
      <w:r>
        <w:t xml:space="preserve">,</w:t>
      </w:r>
      <w:r>
        <w:t xml:space="preserve"> </w:t>
      </w:r>
      <w:r>
        <w:t xml:space="preserve">“Dimensionality reduction for visualizing single-cell data using UMAP”</w:t>
      </w:r>
      <w:r>
        <w:t xml:space="preserve">,</w:t>
      </w:r>
      <w:r>
        <w:t xml:space="preserve"> </w:t>
      </w:r>
      <w:r>
        <w:rPr>
          <w:i/>
          <w:iCs/>
        </w:rPr>
        <w:t xml:space="preserve">Nature Biotechnology</w:t>
      </w:r>
      <w:r>
        <w:t xml:space="preserve">, Vol. 37, pp. 38-44, 2019.</w:t>
      </w:r>
    </w:p>
    <w:p>
      <w:pPr>
        <w:pStyle w:val="BodyText"/>
      </w:pPr>
      <w:r>
        <w:t xml:space="preserve">[25] 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w:t>
      </w:r>
      <w:r>
        <w:t xml:space="preserve"> </w:t>
      </w:r>
      <w:r>
        <w:rPr>
          <w:i/>
          <w:iCs/>
        </w:rPr>
        <w:t xml:space="preserve">Statistics &amp; Probability Letters</w:t>
      </w:r>
      <w:r>
        <w:t xml:space="preserve">, Vol. 35, No. 1, pp. 33-42, 1997.</w:t>
      </w:r>
    </w:p>
    <w:p>
      <w:pPr>
        <w:pStyle w:val="BodyText"/>
      </w:pPr>
      <w:r>
        <w:t xml:space="preserve">[26] V. Satuluri, S. Parthasarathy, and D. Ruan,</w:t>
      </w:r>
      <w:r>
        <w:t xml:space="preserve"> </w:t>
      </w:r>
      <w:r>
        <w:t xml:space="preserve">“Local graph sparsification for scalable clustering”</w:t>
      </w:r>
      <w:r>
        <w:t xml:space="preserve">, in</w:t>
      </w:r>
      <w:r>
        <w:t xml:space="preserve"> </w:t>
      </w:r>
      <w:r>
        <w:rPr>
          <w:i/>
          <w:iCs/>
        </w:rPr>
        <w:t xml:space="preserve">Proc. ACM SIGMOD</w:t>
      </w:r>
      <w:r>
        <w:t xml:space="preserve">, 2011, pp. 721-732.</w:t>
      </w:r>
    </w:p>
    <w:p>
      <w:pPr>
        <w:pStyle w:val="BodyText"/>
      </w:pPr>
      <w:r>
        <w:t xml:space="preserve">[27] J. Xie, R. Girshick, and A. Farhadi,</w:t>
      </w:r>
      <w:r>
        <w:t xml:space="preserve"> </w:t>
      </w:r>
      <w:r>
        <w:t xml:space="preserve">“Unsupervised deep embedding for clustering analysis”</w:t>
      </w:r>
      <w:r>
        <w:t xml:space="preserve">, in</w:t>
      </w:r>
      <w:r>
        <w:t xml:space="preserve"> </w:t>
      </w:r>
      <w:r>
        <w:rPr>
          <w:i/>
          <w:iCs/>
        </w:rPr>
        <w:t xml:space="preserve">Proc. ICML</w:t>
      </w:r>
      <w:r>
        <w:t xml:space="preserve">, 2016, pp. 478-487.</w:t>
      </w:r>
    </w:p>
    <w:p>
      <w:pPr>
        <w:pStyle w:val="BodyText"/>
      </w:pPr>
      <w:r>
        <w:t xml:space="preserve">[28] R. McConville, R. Santos-Rodriguez, R. J. Piechocki, and I. Craddock,</w:t>
      </w:r>
      <w:r>
        <w:t xml:space="preserve"> </w:t>
      </w:r>
      <w:r>
        <w:t xml:space="preserve">“N2D: (Not too) deep clustering via clustering the local manifold of an autoencoded embedding”</w:t>
      </w:r>
      <w:r>
        <w:t xml:space="preserve">, in</w:t>
      </w:r>
      <w:r>
        <w:t xml:space="preserve"> </w:t>
      </w:r>
      <w:r>
        <w:rPr>
          <w:i/>
          <w:iCs/>
        </w:rPr>
        <w:t xml:space="preserve">Proc. ICPR</w:t>
      </w:r>
      <w:r>
        <w:t xml:space="preserve">, 2021, pp. 5145-5152.</w:t>
      </w:r>
    </w:p>
    <w:p>
      <w:pPr>
        <w:pStyle w:val="BodyText"/>
      </w:pPr>
      <w:r>
        <w:t xml:space="preserve">[29] X. Guo, L. Gao, X. Liu, and J. Yin,</w:t>
      </w:r>
      <w:r>
        <w:t xml:space="preserve"> </w:t>
      </w:r>
      <w:r>
        <w:t xml:space="preserve">“Improved deep embedded clustering with local structure preservation”</w:t>
      </w:r>
      <w:r>
        <w:t xml:space="preserve">, in</w:t>
      </w:r>
      <w:r>
        <w:t xml:space="preserve"> </w:t>
      </w:r>
      <w:r>
        <w:rPr>
          <w:i/>
          <w:iCs/>
        </w:rPr>
        <w:t xml:space="preserve">Proc. IJCAI</w:t>
      </w:r>
      <w:r>
        <w:t xml:space="preserve">, 2017, pp. 1753-1759.</w:t>
      </w:r>
    </w:p>
    <w:p>
      <w:pPr>
        <w:pStyle w:val="BodyText"/>
      </w:pPr>
      <w:r>
        <w:t xml:space="preserve">[30] B. Yang, X. Fu, N. D. Sidiropoulos, and M. Hong,</w:t>
      </w:r>
      <w:r>
        <w:t xml:space="preserve"> </w:t>
      </w:r>
      <w:r>
        <w:t xml:space="preserve">“Towards K-means-friendly spaces: Simultaneous deep learning and clustering”</w:t>
      </w:r>
      <w:r>
        <w:t xml:space="preserve">, in</w:t>
      </w:r>
      <w:r>
        <w:t xml:space="preserve"> </w:t>
      </w:r>
      <w:r>
        <w:rPr>
          <w:i/>
          <w:iCs/>
        </w:rPr>
        <w:t xml:space="preserve">Proc. ICML</w:t>
      </w:r>
      <w:r>
        <w:t xml:space="preserve">, 2017, pp. 3861-3870.</w:t>
      </w:r>
    </w:p>
    <w:p>
      <w:pPr>
        <w:pStyle w:val="BodyText"/>
      </w:pPr>
      <w:r>
        <w:t xml:space="preserve">[31] K. V. Mardia, J. T. Kent, and J. M. Bibby,</w:t>
      </w:r>
      <w:r>
        <w:t xml:space="preserve"> </w:t>
      </w:r>
      <w:r>
        <w:rPr>
          <w:i/>
          <w:iCs/>
        </w:rPr>
        <w:t xml:space="preserve">Multivariate Analysis</w:t>
      </w:r>
      <w:r>
        <w:t xml:space="preserve">. Academic Press, 1979.</w:t>
      </w:r>
    </w:p>
    <w:p>
      <w:pPr>
        <w:pStyle w:val="BodyText"/>
      </w:pPr>
      <w:r>
        <w:t xml:space="preserve">[32] 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pPr>
      <w:r>
        <w:t xml:space="preserve">[33] 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pPr>
      <w:r>
        <w:t xml:space="preserve">[34] A. Ghriss and C. Monteleoni,</w:t>
      </w:r>
      <w:r>
        <w:t xml:space="preserve"> </w:t>
      </w:r>
      <w:r>
        <w:t xml:space="preserve">“Deep clustering via probabilistic ratio-cut optimization”</w:t>
      </w:r>
      <w:r>
        <w:t xml:space="preserve">, in</w:t>
      </w:r>
      <w:r>
        <w:t xml:space="preserve"> </w:t>
      </w:r>
      <w:r>
        <w:rPr>
          <w:i/>
          <w:iCs/>
        </w:rPr>
        <w:t xml:space="preserve">Proc. AISTATS</w:t>
      </w:r>
      <w:r>
        <w:t xml:space="preserve">, 2025.</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02" Target="media/rId102.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132" Target="media/rId132.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hyperlink" Id="rId149" Target="https://github.com/al-shaibani-star/-DEAC" TargetMode="External" /></Relationships>
</file>

<file path=word/_rels/footnotes.xml.rels><?xml version="1.0" encoding="UTF-8"?><Relationships xmlns="http://schemas.openxmlformats.org/package/2006/relationships"><Relationship Type="http://schemas.openxmlformats.org/officeDocument/2006/relationships/hyperlink" Id="rId149" Target="https://github.com/al-shaibani-star/-DE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2026-10-15T18:24:42Z</dcterms:created>
  <dcterms:modified xsi:type="dcterms:W3CDTF">2026-10-15T18:24:42Z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