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ntroduction"/>
    <w:p>
      <w:pPr>
        <w:spacing w:after="40"/>
        <w:jc w:val="center"/>
      </w:pPr>
      <w:r>
        <w:rPr>
          <w:rFonts w:ascii="Times New Roman" w:hAnsi="Times New Roman" w:cs="Times New Roman"/>
          <w:b/>
          <w:i w:val="0"/>
          <w:color w:val="000000"/>
          <w:sz w:val="28"/>
        </w:rPr>
        <w:t>DEAC: A Defensive Ensemble Framework for Automatic Graph-Based Clustering of High-Dimensional Data</w:t>
      </w:r>
    </w:p>
    <w:p>
      <w:pPr>
        <w:spacing w:after="40"/>
        <w:jc w:val="center"/>
      </w:pPr>
      <w:r>
        <w:rPr>
          <w:rFonts w:ascii="Times New Roman" w:hAnsi="Times New Roman" w:cs="Times New Roman"/>
          <w:b/>
          <w:i w:val="0"/>
          <w:color w:val="000000"/>
          <w:sz w:val="22"/>
        </w:rPr>
        <w:t>Hussein Ali Ismael¹*</w:t>
      </w:r>
    </w:p>
    <w:p>
      <w:pPr>
        <w:spacing w:after="40"/>
        <w:jc w:val="center"/>
      </w:pPr>
      <w:r>
        <w:rPr>
          <w:rFonts w:ascii="Times New Roman" w:hAnsi="Times New Roman" w:cs="Times New Roman"/>
          <w:b w:val="0"/>
          <w:i w:val="0"/>
          <w:color w:val="000000"/>
          <w:sz w:val="22"/>
        </w:rPr>
        <w:t>¹Department of Computer Science, College of Science, University of Diyala, Diyala, Iraq</w:t>
      </w:r>
    </w:p>
    <w:p>
      <w:pPr>
        <w:spacing w:after="40"/>
        <w:jc w:val="center"/>
        <w:pBdr>
          <w:bottom w:val="single" w:sz="6" w:space="1" w:color="000000"/>
        </w:pBdr>
      </w:pPr>
      <w:r>
        <w:rPr>
          <w:rFonts w:ascii="Times New Roman" w:hAnsi="Times New Roman" w:cs="Times New Roman"/>
          <w:b w:val="0"/>
          <w:i w:val="0"/>
          <w:color w:val="000000"/>
          <w:sz w:val="21"/>
        </w:rPr>
        <w:t>* Corresponding author’s Email: Al-Shaibani@uodiyala.edu.iq</w:t>
      </w:r>
    </w:p>
    <w:p>
      <w:pPr>
        <w:spacing w:after="40"/>
        <w:jc w:val="both"/>
      </w:pPr>
      <w:r>
        <w:rPr>
          <w:rFonts w:ascii="Times New Roman" w:hAnsi="Times New Roman" w:cs="Times New Roman"/>
          <w:b/>
          <w:color w:val="000000"/>
          <w:sz w:val="20"/>
        </w:rPr>
        <w:t xml:space="preserve">Abstract: </w:t>
      </w:r>
      <w:r>
        <w:rPr>
          <w:rFonts w:ascii="Times New Roman" w:hAnsi="Times New Roman" w:cs="Times New Roman"/>
          <w:color w:val="C00000"/>
          <w:sz w:val="20"/>
        </w:rPr>
        <w:t>Clustering high-dimensional data without a known cluster count conventionally returns the partition that maximizes an internal quality score such as modularity or silhouette. We show this is unsafe: across twelve benchmarks, metaheuristically optimizing internal objectives degrades external agreement, because internal and external quality are only weakly correlated. We study this misalignment directly. Using a label-aware oracle that selects the best engine per dataset as an upper bound, we measure how much any label-free rule recovers: a three-layer QualityGate recovers about two-thirds of the oracle’s gain, and learned, stability, and consensus selectors never close the gap, indicating it is structural. The multi-representation Shared Nearest Neighbor and Leiden ensemble the gate arbitrates is itself a competitive label-free method that infers the cluster count, remaining statistically indistinguishable from strong classical and deep baselines while trailing only one recent method. We package these as DEAC and release all per-seed results and scripts.</w:t>
      </w:r>
    </w:p>
    <w:p>
      <w:pPr>
        <w:spacing w:after="40"/>
        <w:jc w:val="both"/>
        <w:pBdr>
          <w:bottom w:val="single" w:sz="6" w:space="1" w:color="000000"/>
        </w:pBdr>
      </w:pPr>
      <w:r>
        <w:rPr>
          <w:rFonts w:ascii="Times New Roman" w:hAnsi="Times New Roman" w:cs="Times New Roman"/>
          <w:b/>
          <w:color w:val="000000"/>
          <w:sz w:val="20"/>
        </w:rPr>
        <w:t xml:space="preserve">Keywords: </w:t>
      </w:r>
      <w:r>
        <w:rPr>
          <w:rFonts w:ascii="Times New Roman" w:hAnsi="Times New Roman" w:cs="Times New Roman"/>
          <w:color w:val="000000"/>
          <w:sz w:val="20"/>
        </w:rPr>
        <w:t>Clustering, High-dimensional data, Graph-based clustering, Differential evolution, Shared nearest neighbors, Leiden algorithm, Ensemble clustering</w:t>
      </w:r>
    </w:p>
    <w:p>
      <w:pPr>
        <w:spacing w:after="40"/>
        <w:jc w:val="center"/>
        <w:sectPr>
          <w:type w:val="continuous"/>
          <w:pgSz w:w="11906" w:h="16838" w:code="9"/>
          <w:pgMar w:top="1440" w:right="1080" w:bottom="1440" w:left="1080" w:header="850" w:footer="567" w:gutter="0"/>
          <w:cols w:num="1" w:space="432"/>
        </w:sectPr>
      </w:pPr>
    </w:p>
    <w:p>
      <w:pPr>
        <w:pStyle w:val="Heading1"/>
        <w:jc w:val="left"/>
      </w:pPr>
      <w:r>
        <w:rPr>
          <w:rFonts w:ascii="Times New Roman" w:hAnsi="Times New Roman" w:cs="Times New Roman"/>
          <w:b/>
          <w:color w:val="000000"/>
          <w:sz w:val="24"/>
        </w:rPr>
        <w:t>1.  Introduction</w:t>
      </w:r>
    </w:p>
    <w:p>
      <w:pPr>
        <w:pStyle w:val="FirstParagraph"/>
        <w:spacing w:before="0" w:after="0" w:line="240" w:lineRule="auto"/>
        <w:ind w:firstLine="330"/>
        <w:jc w:val="both"/>
      </w:pPr>
      <w:r>
        <w:t xml:space="preserve">Clustering seeks to uncover hidden structure in data without class labels [1]. As samples and feature dimensions both grow, clustering high-dimensional data has grown harder [2], and three concrete difficulties follow from that growth:</w:t>
      </w:r>
    </w:p>
    <w:p>
      <w:pPr>
        <w:numPr>
          <w:ilvl w:val="0"/>
          <w:numId w:val="1001"/>
        </w:numPr>
      </w:pPr>
      <w:r>
        <w:rPr>
          <w:b/>
          <w:bCs/>
        </w:rPr>
        <w:t xml:space="preserve">Unknown cluster count.</w:t>
      </w:r>
      <w:r>
        <w:t xml:space="preserve"> </w:t>
      </w:r>
      <w:r>
        <w:t xml:space="preserve">Most methods (KMeans, Spectral, GMM) require the number of clusters</w:t>
      </w:r>
      <w:r>
        <w:t xml:space="preserve"> </w:t>
      </w:r>
      <m:oMath>
        <m:r>
          <m:t>C</m:t>
        </m:r>
      </m:oMath>
      <w:r>
        <w:t xml:space="preserve"> </w:t>
      </w:r>
      <w:r>
        <w:t xml:space="preserve">as an input, which is rarely available in practice.</w:t>
      </w:r>
    </w:p>
    <w:p>
      <w:pPr>
        <w:numPr>
          <w:ilvl w:val="0"/>
          <w:numId w:val="1001"/>
        </w:numPr>
      </w:pPr>
      <w:r>
        <w:rPr>
          <w:b/>
          <w:bCs/>
        </w:rPr>
        <w:t xml:space="preserve">Representation dependence.</w:t>
      </w:r>
      <w:r>
        <w:t xml:space="preserve"> </w:t>
      </w:r>
      <w:r>
        <w:t xml:space="preserve">Clustering quality depends heavily on the choice of dimensionality reduction—PCA, UMAP, or t-SNE—and no single choice is best across all datasets.</w:t>
      </w:r>
    </w:p>
    <w:p>
      <w:pPr>
        <w:numPr>
          <w:ilvl w:val="0"/>
          <w:numId w:val="1001"/>
        </w:numPr>
      </w:pPr>
      <w:r>
        <w:rPr>
          <w:b/>
          <w:bCs/>
        </w:rPr>
        <w:t xml:space="preserve">Hyperparameter sensitivity.</w:t>
      </w:r>
      <w:r>
        <w:t xml:space="preserve"> </w:t>
      </w:r>
      <w:r>
        <w:t xml:space="preserve">Graph-based clustering involves four tightly coupled hyperparameters—</w:t>
      </w:r>
      <m:oMath>
        <m:r>
          <m:t>k</m:t>
        </m:r>
      </m:oMath>
      <w:r>
        <w:t xml:space="preserve"> </w:t>
      </w:r>
      <w:r>
        <w:t xml:space="preserve">(neighbors),</w:t>
      </w:r>
      <w:r>
        <w:t xml:space="preserve"> </w:t>
      </w:r>
      <m:oMath>
        <m:sSup>
          <m:e>
            <m:r>
              <m:t>d</m:t>
            </m:r>
          </m:e>
          <m:sup>
            <m:r>
              <m:rPr>
                <m:sty m:val="p"/>
              </m:rPr>
              <m:t>′</m:t>
            </m:r>
          </m:sup>
        </m:sSup>
      </m:oMath>
      <w:r>
        <w:t xml:space="preserve"> </w:t>
      </w:r>
      <w:r>
        <w:t xml:space="preserve">(dimensions),</w:t>
      </w:r>
      <w:r>
        <w:t xml:space="preserve"> </w:t>
      </w:r>
      <m:oMath>
        <m:r>
          <m:t>q</m:t>
        </m:r>
      </m:oMath>
      <w:r>
        <w:t xml:space="preserve"> </w:t>
      </w:r>
      <w:r>
        <w:t xml:space="preserve">(pruning),</w:t>
      </w:r>
      <w:r>
        <w:t xml:space="preserve"> </w:t>
      </w:r>
      <m:oMath>
        <m:r>
          <m:t>r</m:t>
        </m:r>
      </m:oMath>
      <w:r>
        <w:t xml:space="preserve"> </w:t>
      </w:r>
      <w:r>
        <w:t xml:space="preserve">(resolution)—whose best values differ markedly from one dataset to the next.</w:t>
      </w:r>
    </w:p>
    <w:p>
      <w:pPr>
        <w:pStyle w:val="FirstParagraph"/>
        <w:spacing w:before="0" w:after="0" w:line="240" w:lineRule="auto"/>
        <w:ind w:firstLine="330"/>
        <w:jc w:val="both"/>
      </w:pPr>
      <w:r>
        <w:t xml:space="preserve">Graph-based clustering addresses the first difficulty but inherits the other two. Methods in this family [6] build a similarity graph and apply community detection [7, 8] to recover clusters of arbitrary shape with</w:t>
      </w:r>
      <w:r>
        <w:t xml:space="preserve"> </w:t>
      </w:r>
      <m:oMath>
        <m:r>
          <m:t>C</m:t>
        </m:r>
      </m:oMath>
      <w:r>
        <w:t xml:space="preserve"> </w:t>
      </w:r>
      <w:r>
        <w:t xml:space="preserve">determined automatically. Their quality, however, still depends on the graph hyperparameters and on the representation used—gaps that an adaptive framework can close.</w:t>
      </w:r>
    </w:p>
    <w:p>
      <w:pPr>
        <w:pStyle w:val="BodyText"/>
        <w:spacing w:before="0" w:after="0" w:line="240" w:lineRule="auto"/>
        <w:ind w:firstLine="330"/>
        <w:jc w:val="both"/>
      </w:pPr>
      <w:r>
        <w:rPr>
          <w:b/>
          <w:bCs/>
          <w:color w:val="C00000"/>
        </w:rPr>
        <w:t xml:space="preserve">Contributions.</w:t>
      </w:r>
      <w:r>
        <w:rPr>
          <w:color w:val="C00000"/>
        </w:rPr>
        <w:t xml:space="preserve"> </w:t>
      </w:r>
      <w:r>
        <w:rPr>
          <w:color w:val="C00000"/>
        </w:rPr>
        <w:t xml:space="preserve">Building on that observation, we propose DEAC (Defensive Ensemble Adaptive Clustering). This paper makes four contributions:</w:t>
      </w:r>
    </w:p>
    <w:p>
      <w:pPr>
        <w:numPr>
          <w:ilvl w:val="0"/>
          <w:numId w:val="1002"/>
        </w:numPr>
      </w:pPr>
      <w:r>
        <w:rPr>
          <w:b/>
          <w:bCs/>
          <w:color w:val="C00000"/>
        </w:rPr>
        <w:t xml:space="preserve">An internal–external misalignment result (primary).</w:t>
      </w:r>
      <w:r>
        <w:rPr>
          <w:color w:val="C00000"/>
        </w:rPr>
        <w:t xml:space="preserve"> </w:t>
      </w:r>
      <w:r>
        <w:rPr>
          <w:color w:val="C00000"/>
        </w:rPr>
        <w:t xml:space="preserve">On twelve</w:t>
      </w:r>
      <w:r>
        <w:rPr>
          <w:color w:val="C00000"/>
        </w:rPr>
        <w:t xml:space="preserve"> </w:t>
      </w:r>
      <w:r>
        <w:rPr>
          <w:color w:val="C00000"/>
        </w:rPr>
        <w:t xml:space="preserve">benchmarks, metaheuristically optimizing internal objectives</w:t>
      </w:r>
      <w:r>
        <w:rPr>
          <w:color w:val="C00000"/>
        </w:rPr>
        <w:t xml:space="preserve"> </w:t>
      </w:r>
      <w:r>
        <w:rPr>
          <w:i/>
          <w:iCs/>
          <w:color w:val="C00000"/>
        </w:rPr>
        <w:t xml:space="preserve">reduces</w:t>
      </w:r>
      <w:r>
        <w:rPr>
          <w:color w:val="C00000"/>
        </w:rPr>
        <w:t xml:space="preserve"> </w:t>
      </w:r>
      <w:r>
        <w:rPr>
          <w:color w:val="C00000"/>
        </w:rPr>
        <w:t xml:space="preserve">external accuracy: our DE-optimized engine, despite maximizing modularity and</w:t>
      </w:r>
      <w:r>
        <w:rPr>
          <w:color w:val="C00000"/>
        </w:rPr>
        <w:t xml:space="preserve"> </w:t>
      </w:r>
      <w:r>
        <w:rPr>
          <w:color w:val="C00000"/>
        </w:rPr>
        <w:t xml:space="preserve">silhouette, scores</w:t>
      </w:r>
      <w:r>
        <w:rPr>
          <w:color w:val="C00000"/>
        </w:rPr>
        <w:t xml:space="preserve"> </w:t>
      </w:r>
      <w:r>
        <w:rPr>
          <w:i/>
          <w:iCs/>
          <w:color w:val="C00000"/>
        </w:rPr>
        <w:t xml:space="preserve">below</w:t>
      </w:r>
      <w:r>
        <w:rPr>
          <w:color w:val="C00000"/>
        </w:rPr>
        <w:t xml:space="preserve"> </w:t>
      </w:r>
      <w:r>
        <w:rPr>
          <w:color w:val="C00000"/>
        </w:rPr>
        <w:t xml:space="preserve">a fixed baseline in mean ARI (0.563 vs. 0.580),</w:t>
      </w:r>
      <w:r>
        <w:rPr>
          <w:color w:val="C00000"/>
        </w:rPr>
        <w:t xml:space="preserve"> </w:t>
      </w:r>
      <w:r>
        <w:rPr>
          <w:color w:val="C00000"/>
        </w:rPr>
        <w:t xml:space="preserve">and silhouette barely tracks ARI (rank correlation</w:t>
      </w:r>
      <w:r>
        <w:rPr>
          <w:color w:val="C00000"/>
        </w:rPr>
        <w:t xml:space="preserve"> </w:t>
      </w:r>
      <m:oMath>
        <m:r>
          <m:rPr>
            <m:sty m:val="p"/>
          </m:rPr>
          <m:t>≈</m:t>
        </m:r>
        <m:r>
          <m:t>0.08</m:t>
        </m:r>
      </m:oMath>
      <w:r>
        <w:rPr>
          <w:color w:val="C00000"/>
        </w:rPr>
        <w:t xml:space="preserve">). This</w:t>
      </w:r>
      <w:r>
        <w:rPr>
          <w:color w:val="C00000"/>
        </w:rPr>
        <w:t xml:space="preserve"> </w:t>
      </w:r>
      <w:r>
        <w:rPr>
          <w:color w:val="C00000"/>
        </w:rPr>
        <w:t xml:space="preserve">reframes</w:t>
      </w:r>
      <w:r>
        <w:rPr>
          <w:color w:val="C00000"/>
        </w:rPr>
        <w:t xml:space="preserve"> </w:t>
      </w:r>
      <w:r>
        <w:rPr>
          <w:color w:val="C00000"/>
        </w:rPr>
        <w:t xml:space="preserve">“which partition scores best internally”</w:t>
      </w:r>
      <w:r>
        <w:rPr>
          <w:color w:val="C00000"/>
        </w:rPr>
        <w:t xml:space="preserve"> </w:t>
      </w:r>
      <w:r>
        <w:rPr>
          <w:color w:val="C00000"/>
        </w:rPr>
        <w:t xml:space="preserve">as the wrong question.</w:t>
      </w:r>
    </w:p>
    <w:p>
      <w:pPr>
        <w:numPr>
          <w:ilvl w:val="0"/>
          <w:numId w:val="1002"/>
        </w:numPr>
      </w:pPr>
      <w:r>
        <w:rPr>
          <w:b/>
          <w:bCs/>
          <w:color w:val="C00000"/>
        </w:rPr>
        <w:t xml:space="preserve">A quantified oracle–deployable gap.</w:t>
      </w:r>
      <w:r>
        <w:rPr>
          <w:color w:val="C00000"/>
        </w:rPr>
        <w:t xml:space="preserve"> </w:t>
      </w:r>
      <w:r>
        <w:rPr>
          <w:color w:val="C00000"/>
        </w:rPr>
        <w:t xml:space="preserve">We define a label-aware</w:t>
      </w:r>
      <w:r>
        <w:rPr>
          <w:color w:val="C00000"/>
        </w:rPr>
        <w:t xml:space="preserve"> </w:t>
      </w:r>
      <w:r>
        <w:rPr>
          <w:color w:val="C00000"/>
        </w:rPr>
        <w:t xml:space="preserve">oracle (mean ARI 0.646) as an upper bound and measure how far label-free</w:t>
      </w:r>
      <w:r>
        <w:rPr>
          <w:color w:val="C00000"/>
        </w:rPr>
        <w:t xml:space="preserve"> </w:t>
      </w:r>
      <w:r>
        <w:rPr>
          <w:color w:val="C00000"/>
        </w:rPr>
        <w:t xml:space="preserve">selection reaches: a three-layer QualityGate recovers</w:t>
      </w:r>
      <w:r>
        <w:rPr>
          <w:color w:val="C00000"/>
        </w:rPr>
        <w:t xml:space="preserve"> </w:t>
      </w:r>
      <m:oMath>
        <m:r>
          <m:t>65</m:t>
        </m:r>
        <m:r>
          <m:rPr>
            <m:sty m:val="p"/>
          </m:rPr>
          <m:t>%</m:t>
        </m:r>
      </m:oMath>
      <w:r>
        <w:rPr>
          <w:color w:val="C00000"/>
        </w:rPr>
        <w:t xml:space="preserve"> </w:t>
      </w:r>
      <w:r>
        <w:rPr>
          <w:color w:val="C00000"/>
        </w:rPr>
        <w:t xml:space="preserve">of its gain over</w:t>
      </w:r>
      <w:r>
        <w:rPr>
          <w:color w:val="C00000"/>
        </w:rPr>
        <w:t xml:space="preserve"> </w:t>
      </w:r>
      <w:r>
        <w:rPr>
          <w:color w:val="C00000"/>
        </w:rPr>
        <w:t xml:space="preserve">the baseline, and across learned, stability, and consensus selectors the best</w:t>
      </w:r>
      <w:r>
        <w:rPr>
          <w:color w:val="C00000"/>
        </w:rPr>
        <w:t xml:space="preserve"> </w:t>
      </w:r>
      <w:r>
        <w:rPr>
          <w:color w:val="C00000"/>
        </w:rPr>
        <w:t xml:space="preserve">is</w:t>
      </w:r>
      <w:r>
        <w:rPr>
          <w:color w:val="C00000"/>
        </w:rPr>
        <w:t xml:space="preserve"> </w:t>
      </w:r>
      <m:oMath>
        <m:r>
          <m:t>64</m:t>
        </m:r>
        <m:r>
          <m:rPr>
            <m:sty m:val="p"/>
          </m:rPr>
          <m:t>%</m:t>
        </m:r>
      </m:oMath>
      <w:r>
        <w:rPr>
          <w:color w:val="C00000"/>
        </w:rPr>
        <w:t xml:space="preserve">. The gap resists every standard label-free approach, indicating it is</w:t>
      </w:r>
      <w:r>
        <w:rPr>
          <w:color w:val="C00000"/>
        </w:rPr>
        <w:t xml:space="preserve"> </w:t>
      </w:r>
      <w:r>
        <w:rPr>
          <w:color w:val="C00000"/>
        </w:rPr>
        <w:t xml:space="preserve">structural rather than a tuning artifact.</w:t>
      </w:r>
    </w:p>
    <w:p>
      <w:pPr>
        <w:numPr>
          <w:ilvl w:val="0"/>
          <w:numId w:val="1002"/>
        </w:numPr>
      </w:pPr>
      <w:r>
        <w:rPr>
          <w:b/>
          <w:bCs/>
          <w:color w:val="C00000"/>
        </w:rPr>
        <w:t xml:space="preserve">A competitive label-free, cluster-count-inferring ensemble</w:t>
      </w:r>
      <w:r>
        <w:rPr>
          <w:b/>
          <w:bCs/>
          <w:color w:val="C00000"/>
        </w:rPr>
        <w:t xml:space="preserve"> </w:t>
      </w:r>
      <w:r>
        <w:rPr>
          <w:b/>
          <w:bCs/>
          <w:color w:val="C00000"/>
        </w:rPr>
        <w:t xml:space="preserve">(EMR-CGC).</w:t>
      </w:r>
      <w:r>
        <w:rPr>
          <w:color w:val="C00000"/>
        </w:rPr>
        <w:t xml:space="preserve"> </w:t>
      </w:r>
      <w:r>
        <w:rPr>
          <w:color w:val="C00000"/>
        </w:rPr>
        <w:t xml:space="preserve">A multi-representation SNN–Leiden ensemble (mean ARI 0.631) that is</w:t>
      </w:r>
      <w:r>
        <w:rPr>
          <w:color w:val="C00000"/>
        </w:rPr>
        <w:t xml:space="preserve"> </w:t>
      </w:r>
      <w:r>
        <w:rPr>
          <w:color w:val="C00000"/>
        </w:rPr>
        <w:t xml:space="preserve">statistically on par with strong classical and deep baselines</w:t>
      </w:r>
      <w:r>
        <w:rPr>
          <w:color w:val="C00000"/>
        </w:rPr>
        <w:t xml:space="preserve"> </w:t>
      </w:r>
      <w:r>
        <w:rPr>
          <w:i/>
          <w:iCs/>
          <w:color w:val="C00000"/>
        </w:rPr>
        <w:t xml:space="preserve">without</w:t>
      </w:r>
      <w:r>
        <w:rPr>
          <w:color w:val="C00000"/>
        </w:rPr>
        <w:t xml:space="preserve"> </w:t>
      </w:r>
      <w:r>
        <w:rPr>
          <w:color w:val="C00000"/>
        </w:rPr>
        <w:t xml:space="preserve">being given the cluster count—showing that the limitation is recognition, not</w:t>
      </w:r>
      <w:r>
        <w:rPr>
          <w:color w:val="C00000"/>
        </w:rPr>
        <w:t xml:space="preserve"> </w:t>
      </w:r>
      <w:r>
        <w:rPr>
          <w:color w:val="C00000"/>
        </w:rPr>
        <w:t xml:space="preserve">clustering power. A complementary DE engine (AMR-DE) covers specific regimes.</w:t>
      </w:r>
    </w:p>
    <w:p>
      <w:pPr>
        <w:numPr>
          <w:ilvl w:val="0"/>
          <w:numId w:val="1002"/>
        </w:numPr>
      </w:pPr>
      <w:r>
        <w:rPr>
          <w:b/>
          <w:bCs/>
          <w:color w:val="C00000"/>
        </w:rPr>
        <w:t xml:space="preserve">Full reproducibility artifacts.</w:t>
      </w:r>
      <w:r>
        <w:rPr>
          <w:color w:val="C00000"/>
        </w:rPr>
        <w:t xml:space="preserve"> </w:t>
      </w:r>
      <w:r>
        <w:rPr>
          <w:color w:val="C00000"/>
        </w:rPr>
        <w:t xml:space="preserve">We release the per-seed results</w:t>
      </w:r>
      <w:r>
        <w:rPr>
          <w:color w:val="C00000"/>
        </w:rPr>
        <w:t xml:space="preserve"> </w:t>
      </w:r>
      <w:r>
        <w:rPr>
          <w:color w:val="C00000"/>
        </w:rPr>
        <w:t xml:space="preserve">(internal scores, cluster counts, gate decisions) as a full-precision matrix, with</w:t>
      </w:r>
      <w:r>
        <w:rPr>
          <w:color w:val="C00000"/>
        </w:rPr>
        <w:t xml:space="preserve"> </w:t>
      </w:r>
      <w:r>
        <w:rPr>
          <w:color w:val="C00000"/>
        </w:rPr>
        <w:t xml:space="preserve">every figure/table/test script, all generated from a single canonical run, and</w:t>
      </w:r>
      <w:r>
        <w:rPr>
          <w:color w:val="C00000"/>
        </w:rPr>
        <w:t xml:space="preserve"> </w:t>
      </w:r>
      <w:r>
        <w:rPr>
          <w:color w:val="C00000"/>
        </w:rPr>
        <w:t xml:space="preserve">evaluate with Wilcoxon, Friedman, and Nemenyi tests against five classical and four</w:t>
      </w:r>
      <w:r>
        <w:rPr>
          <w:color w:val="C00000"/>
        </w:rPr>
        <w:t xml:space="preserve"> </w:t>
      </w:r>
      <w:r>
        <w:rPr>
          <w:color w:val="C00000"/>
        </w:rPr>
        <w:t xml:space="preserve">deep baselines.</w:t>
      </w:r>
    </w:p>
    <w:p>
      <w:pPr>
        <w:pStyle w:val="FirstParagraph"/>
        <w:spacing w:before="0" w:after="0" w:line="240" w:lineRule="auto"/>
        <w:ind w:firstLine="330"/>
        <w:jc w:val="both"/>
      </w:pPr>
      <w:r>
        <w:t xml:space="preserve">The rest of the paper follows this order. Section </w:t>
      </w:r>
      <w:hyperlink w:anchor="sec:related">
        <w:r>
          <w:rPr>
            <w:rStyle w:val="Hyperlink"/>
          </w:rPr>
          <w:t xml:space="preserve">2</w:t>
        </w:r>
      </w:hyperlink>
      <w:r>
        <w:t xml:space="preserve"> </w:t>
      </w:r>
      <w:r>
        <w:t xml:space="preserve">surveys related work. Section </w:t>
      </w:r>
      <w:hyperlink w:anchor="sec:method">
        <w:r>
          <w:rPr>
            <w:rStyle w:val="Hyperlink"/>
          </w:rPr>
          <w:t xml:space="preserve">3</w:t>
        </w:r>
      </w:hyperlink>
      <w:r>
        <w:t xml:space="preserve"> </w:t>
      </w:r>
      <w:r>
        <w:t xml:space="preserve">details the DEAC framework. Section </w:t>
      </w:r>
      <w:hyperlink w:anchor="sec:exp">
        <w:r>
          <w:rPr>
            <w:rStyle w:val="Hyperlink"/>
          </w:rPr>
          <w:t xml:space="preserve">4</w:t>
        </w:r>
      </w:hyperlink>
      <w:r>
        <w:t xml:space="preserve"> </w:t>
      </w:r>
      <w:r>
        <w:t xml:space="preserve">reports the experiments. Section </w:t>
      </w:r>
      <w:hyperlink w:anchor="sec:disc">
        <w:r>
          <w:rPr>
            <w:rStyle w:val="Hyperlink"/>
          </w:rPr>
          <w:t xml:space="preserve">5</w:t>
        </w:r>
      </w:hyperlink>
      <w:r>
        <w:t xml:space="preserve"> </w:t>
      </w:r>
      <w:r>
        <w:t xml:space="preserve">discusses findings and limits; Section </w:t>
      </w:r>
      <w:hyperlink w:anchor="sec:conc">
        <w:r>
          <w:rPr>
            <w:rStyle w:val="Hyperlink"/>
          </w:rPr>
          <w:t xml:space="preserve">6</w:t>
        </w:r>
      </w:hyperlink>
      <w:r>
        <w:t xml:space="preserve"> </w:t>
      </w:r>
      <w:r>
        <w:t xml:space="preserve">concludes.</w:t>
      </w:r>
    </w:p>
    <w:bookmarkEnd w:id="11"/>
    <w:bookmarkStart w:id="20" w:name="sec:related"/>
    <w:p>
      <w:pPr>
        <w:pStyle w:val="Heading1"/>
        <w:jc w:val="left"/>
      </w:pPr>
      <w:r>
        <w:rPr>
          <w:rFonts w:ascii="Times New Roman" w:hAnsi="Times New Roman" w:cs="Times New Roman"/>
          <w:b/>
          <w:color w:val="000000"/>
          <w:sz w:val="24"/>
        </w:rPr>
        <w:t>2.  Related Work</w:t>
      </w:r>
    </w:p>
    <w:p>
      <w:pPr>
        <w:pStyle w:val="FirstParagraph"/>
        <w:spacing w:before="0" w:after="0" w:line="240" w:lineRule="auto"/>
        <w:ind w:firstLine="330"/>
        <w:jc w:val="both"/>
      </w:pPr>
      <w:r>
        <w:t xml:space="preserve">We group prior work into six strands and close with DEAC’s position in that space.</w:t>
      </w:r>
    </w:p>
    <w:bookmarkStart w:id="12" w:name="graph-based-clustering"/>
    <w:p>
      <w:pPr>
        <w:pStyle w:val="Heading2"/>
        <w:jc w:val="left"/>
      </w:pPr>
      <w:r>
        <w:rPr>
          <w:rFonts w:ascii="Times New Roman" w:hAnsi="Times New Roman" w:cs="Times New Roman"/>
          <w:b/>
          <w:color w:val="000000"/>
          <w:sz w:val="22"/>
        </w:rPr>
        <w:t>Graph-Based Clustering</w:t>
      </w:r>
    </w:p>
    <w:p>
      <w:pPr>
        <w:pStyle w:val="FirstParagraph"/>
        <w:spacing w:before="0" w:after="0" w:line="240" w:lineRule="auto"/>
        <w:ind w:firstLine="330"/>
        <w:jc w:val="both"/>
      </w:pPr>
      <w:r>
        <w:t xml:space="preserve">Graph-based methods build a similarity graph and apply community detection. Louvain [7] maximizes modularity greedily but may return disconnected communities. Leiden [8] fixes that with a refinement phase that guarantees connectivity. Follow-up work has refined KNN-graph construction [25] and sparsified edges through pruning [26]. Whichever detector is used, the input graph depends on a prior dimensionality reduction.</w:t>
      </w:r>
    </w:p>
    <w:bookmarkEnd w:id="12"/>
    <w:bookmarkStart w:id="13" w:name="dimensionality-reduction"/>
    <w:p>
      <w:pPr>
        <w:pStyle w:val="Heading2"/>
        <w:jc w:val="left"/>
      </w:pPr>
      <w:r>
        <w:rPr>
          <w:rFonts w:ascii="Times New Roman" w:hAnsi="Times New Roman" w:cs="Times New Roman"/>
          <w:b/>
          <w:color w:val="000000"/>
          <w:sz w:val="22"/>
        </w:rPr>
        <w:t>Dimensionality Reduction</w:t>
      </w:r>
    </w:p>
    <w:p>
      <w:pPr>
        <w:pStyle w:val="FirstParagraph"/>
        <w:spacing w:before="0" w:after="0" w:line="240" w:lineRule="auto"/>
        <w:ind w:firstLine="330"/>
        <w:jc w:val="both"/>
      </w:pPr>
      <w:r>
        <w:t xml:space="preserve">PCA [9] is linear and misses manifold structure. UMAP [10] preserves both local and global structure and is generally stronger than t-SNE [11] for downstream clustering [24]. Its sensitivity to hyperparameters, however, is well documented—which again favors adaptive selection over fixed defaults. When adaptation is framed as optimization, metaheuristics become relevant.</w:t>
      </w:r>
    </w:p>
    <w:bookmarkEnd w:id="13"/>
    <w:bookmarkStart w:id="14" w:name="X95430fb782ac988bd616d26b06d39dc99bc03d2"/>
    <w:p>
      <w:pPr>
        <w:pStyle w:val="Heading2"/>
        <w:jc w:val="left"/>
      </w:pPr>
      <w:r>
        <w:rPr>
          <w:rFonts w:ascii="Times New Roman" w:hAnsi="Times New Roman" w:cs="Times New Roman"/>
          <w:b/>
          <w:color w:val="000000"/>
          <w:sz w:val="22"/>
        </w:rPr>
        <w:t>Metaheuristic Optimization for Clustering</w:t>
      </w:r>
    </w:p>
    <w:p>
      <w:pPr>
        <w:pStyle w:val="FirstParagraph"/>
        <w:spacing w:before="0" w:after="0" w:line="240" w:lineRule="auto"/>
        <w:ind w:firstLine="330"/>
        <w:jc w:val="both"/>
      </w:pPr>
      <w:r>
        <w:t xml:space="preserve">Differential Evolution (DE) [12] has been used to tune clustering objectives [23]. Grey Wolf Optimizer [13] with Lévy flights [14] offers more aggressive exploration, and recent hybrids [15] combine several heuristics—though they typically operate on a single representation. Representation diversity, which we pursue later, is rarely the primary target.</w:t>
      </w:r>
    </w:p>
    <w:bookmarkEnd w:id="14"/>
    <w:bookmarkStart w:id="15" w:name="snn-and-dpc-approaches"/>
    <w:p>
      <w:pPr>
        <w:pStyle w:val="Heading2"/>
        <w:jc w:val="left"/>
      </w:pPr>
      <w:r>
        <w:rPr>
          <w:rFonts w:ascii="Times New Roman" w:hAnsi="Times New Roman" w:cs="Times New Roman"/>
          <w:b/>
          <w:color w:val="000000"/>
          <w:sz w:val="22"/>
        </w:rPr>
        <w:t>SNN and DPC Approaches</w:t>
      </w:r>
    </w:p>
    <w:p>
      <w:pPr>
        <w:pStyle w:val="FirstParagraph"/>
        <w:spacing w:before="0" w:after="0" w:line="240" w:lineRule="auto"/>
        <w:ind w:firstLine="330"/>
        <w:jc w:val="both"/>
      </w:pPr>
      <w:r>
        <w:t xml:space="preserve">The Shared Nearest Neighbor (SNN) score [16] sets edge weight from common neighbors rather than raw distance, which yields a more stable similarity. DPC-AKNN [17] pairs adaptive KNN with geodesic distance and reports ARI</w:t>
      </w:r>
      <m:oMath>
        <m:r>
          <m:rPr>
            <m:sty m:val="p"/>
          </m:rPr>
          <m:t>&gt;</m:t>
        </m:r>
        <m:r>
          <m:t>0.95</m:t>
        </m:r>
      </m:oMath>
      <w:r>
        <w:t xml:space="preserve"> </w:t>
      </w:r>
      <w:r>
        <w:t xml:space="preserve">on small manifold datasets (</w:t>
      </w:r>
      <m:oMath>
        <m:r>
          <m:rPr>
            <m:sty m:val="p"/>
          </m:rPr>
          <m:t>≤</m:t>
        </m:r>
        <m:r>
          <m:t>366</m:t>
        </m:r>
      </m:oMath>
      <w:r>
        <w:t xml:space="preserve"> </w:t>
      </w:r>
      <w:r>
        <w:t xml:space="preserve">samples), but still requires the true</w:t>
      </w:r>
      <w:r>
        <w:t xml:space="preserve"> </w:t>
      </w:r>
      <m:oMath>
        <m:r>
          <m:t>C</m:t>
        </m:r>
      </m:oMath>
      <w:r>
        <w:t xml:space="preserve"> </w:t>
      </w:r>
      <w:r>
        <w:t xml:space="preserve">as input—a reliance it shares with the deep methods surveyed next.</w:t>
      </w:r>
    </w:p>
    <w:bookmarkEnd w:id="15"/>
    <w:bookmarkStart w:id="16" w:name="deep-clustering"/>
    <w:p>
      <w:pPr>
        <w:pStyle w:val="Heading2"/>
        <w:jc w:val="left"/>
      </w:pPr>
      <w:r>
        <w:rPr>
          <w:rFonts w:ascii="Times New Roman" w:hAnsi="Times New Roman" w:cs="Times New Roman"/>
          <w:b/>
          <w:color w:val="000000"/>
          <w:sz w:val="22"/>
        </w:rPr>
        <w:t>Deep Clustering</w:t>
      </w:r>
    </w:p>
    <w:p>
      <w:pPr>
        <w:pStyle w:val="FirstParagraph"/>
        <w:spacing w:before="0" w:after="0" w:line="240" w:lineRule="auto"/>
        <w:ind w:firstLine="330"/>
        <w:jc w:val="both"/>
      </w:pPr>
      <w:r>
        <w:t xml:space="preserve">A parallel line of work learns the representation and the clustering jointly. DEC [27] self-trains an autoencoder embedding with a KL objective; IDEC [29] adds a reconstruction term, and DCN [30] couples the autoencoder with</w:t>
      </w:r>
      <w:r>
        <w:t xml:space="preserve"> </w:t>
      </w:r>
      <m:oMath>
        <m:r>
          <m:t>k</m:t>
        </m:r>
      </m:oMath>
      <w:r>
        <w:t xml:space="preserve">-means. N2D [28] instead clusters the UMAP manifold of an autoencoded embedding and is a strong, lightweight baseline. All of these, however, require the cluster count</w:t>
      </w:r>
      <w:r>
        <w:t xml:space="preserve"> </w:t>
      </w:r>
      <m:oMath>
        <m:r>
          <m:t>C</m:t>
        </m:r>
      </m:oMath>
      <w:r>
        <w:t xml:space="preserve"> </w:t>
      </w:r>
      <w:r>
        <w:t xml:space="preserve">as input—the very assumption DEAC removes—which motivates our direct empirical comparison against them in §</w:t>
      </w:r>
      <w:hyperlink w:anchor="sec:exp">
        <w:r>
          <w:rPr>
            <w:rStyle w:val="Hyperlink"/>
          </w:rPr>
          <w:t xml:space="preserve">4</w:t>
        </w:r>
      </w:hyperlink>
      <w:r>
        <w:t xml:space="preserve">.</w:t>
      </w:r>
    </w:p>
    <w:bookmarkEnd w:id="16"/>
    <w:bookmarkStart w:id="17" w:name="ensemble-clustering"/>
    <w:p>
      <w:pPr>
        <w:pStyle w:val="Heading2"/>
        <w:jc w:val="left"/>
      </w:pPr>
      <w:r>
        <w:rPr>
          <w:rFonts w:ascii="Times New Roman" w:hAnsi="Times New Roman" w:cs="Times New Roman"/>
          <w:b/>
          <w:color w:val="000000"/>
          <w:sz w:val="22"/>
        </w:rPr>
        <w:t>Ensemble Clustering</w:t>
      </w:r>
    </w:p>
    <w:p>
      <w:pPr>
        <w:pStyle w:val="FirstParagraph"/>
        <w:spacing w:before="0" w:after="0" w:line="240" w:lineRule="auto"/>
        <w:ind w:firstLine="330"/>
        <w:jc w:val="both"/>
      </w:pPr>
      <w:r>
        <w:t xml:space="preserve">Ensembles [18] combine multiple partitions through co-association matrices [19] or consensus voting [20]. Most ensembles draw from a single representation, so partition diversity is bounded by that single view. These six strands together inform how DEAC is positioned.</w:t>
      </w:r>
    </w:p>
    <w:bookmarkEnd w:id="17"/>
    <w:bookmarkStart w:id="19" w:name="positioning-of-deac"/>
    <w:p>
      <w:pPr>
        <w:pStyle w:val="Heading2"/>
        <w:jc w:val="left"/>
      </w:pPr>
      <w:r>
        <w:rPr>
          <w:rFonts w:ascii="Times New Roman" w:hAnsi="Times New Roman" w:cs="Times New Roman"/>
          <w:b/>
          <w:color w:val="000000"/>
          <w:sz w:val="22"/>
        </w:rPr>
        <w:t>Positioning of DEAC</w:t>
      </w:r>
    </w:p>
    <w:p>
      <w:pPr>
        <w:pStyle w:val="FirstParagraph"/>
        <w:spacing w:before="0" w:after="0" w:line="240" w:lineRule="auto"/>
        <w:ind w:firstLine="330"/>
        <w:jc w:val="both"/>
      </w:pPr>
      <w:r>
        <w:t xml:space="preserve">Table </w:t>
      </w:r>
      <w:hyperlink w:anchor="tab:related">
        <w:r>
          <w:rPr>
            <w:rStyle w:val="Hyperlink"/>
          </w:rPr>
          <w:t xml:space="preserve">1</w:t>
        </w:r>
      </w:hyperlink>
      <w:r>
        <w:t xml:space="preserve"> </w:t>
      </w:r>
      <w:r>
        <w:t xml:space="preserve">compares the features that distinguish graph-clustering pipelines. DEAC is the only method that combines adaptive representation (AR), automatic</w:t>
      </w:r>
      <w:r>
        <w:t xml:space="preserve"> </w:t>
      </w:r>
      <m:oMath>
        <m:r>
          <m:t>k</m:t>
        </m:r>
      </m:oMath>
      <w:r>
        <w:t xml:space="preserve"> </w:t>
      </w:r>
      <w:r>
        <w:t xml:space="preserve">(AK), hyperparameter optimization (HO), ensembling (EN), and a quality gate (QG).</w:t>
      </w:r>
    </w:p>
    <w:bookmarkStart w:id="18" w:name="tab:related"/>
    <w:p>
      <w:pPr>
        <w:pStyle w:val="TableCaption"/>
        <w:jc w:val="center"/>
      </w:pPr>
      <w:r>
        <w:rPr>
          <w:rFonts w:ascii="Times New Roman" w:hAnsi="Times New Roman" w:cs="Times New Roman"/>
          <w:color w:val="000000"/>
          <w:sz w:val="20"/>
        </w:rPr>
        <w:t xml:space="preserve">Table 1. </w:t>
      </w:r>
      <w:r>
        <w:rPr>
          <w:rFonts w:ascii="Times New Roman" w:hAnsi="Times New Roman" w:cs="Times New Roman"/>
          <w:color w:val="000000"/>
          <w:sz w:val="20"/>
        </w:rPr>
        <w:t xml:space="preserve">Feature comparison with related methods.</w:t>
      </w:r>
    </w:p>
    <w:tbl>
      <w:tblPr>
        <w:tblStyle w:val="Table"/>
        <w:tblW w:type="dxa" w:w="4596"/>
        <w:tblLook w:firstRow="1" w:lastRow="0" w:firstColumn="0" w:lastColumn="0" w:noHBand="0" w:noVBand="0" w:val="0020"/>
        <w:tblCaption w:val="Feature comparison with related methods."/>
        <w:tblLayout w:type="fixed"/>
      </w:tblPr>
      <w:tblGrid>
        <w:gridCol w:w="766"/>
        <w:gridCol w:w="766"/>
        <w:gridCol w:w="766"/>
        <w:gridCol w:w="766"/>
        <w:gridCol w:w="766"/>
        <w:gridCol w:w="766"/>
      </w:tblGrid>
      <w:tr>
        <w:trPr>
          <w:tblHeader w:val="on"/>
        </w:trPr>
        <w:tc>
          <w:tcPr>
            <w:tcW w:type="dxa" w:w="766"/>
          </w:tcPr>
          <w:p>
            <w:pPr>
              <w:pStyle w:val="Compact"/>
              <w:jc w:val="left"/>
            </w:pPr>
            <w:r>
              <w:rPr>
                <w:sz w:val="18"/>
                <w:szCs w:val="18"/>
              </w:rPr>
              <w:t xml:space="preserve">Method</w:t>
            </w:r>
          </w:p>
        </w:tc>
        <w:tc>
          <w:tcPr>
            <w:tcW w:type="dxa" w:w="766"/>
          </w:tcPr>
          <w:p>
            <w:pPr>
              <w:pStyle w:val="Compact"/>
              <w:jc w:val="center"/>
            </w:pPr>
            <w:r>
              <w:rPr>
                <w:sz w:val="18"/>
                <w:szCs w:val="18"/>
              </w:rPr>
              <w:t xml:space="preserve">AR</w:t>
            </w:r>
          </w:p>
        </w:tc>
        <w:tc>
          <w:tcPr>
            <w:tcW w:type="dxa" w:w="766"/>
          </w:tcPr>
          <w:p>
            <w:pPr>
              <w:pStyle w:val="Compact"/>
              <w:jc w:val="center"/>
            </w:pPr>
            <w:r>
              <w:rPr>
                <w:sz w:val="18"/>
                <w:szCs w:val="18"/>
              </w:rPr>
              <w:t xml:space="preserve">AK</w:t>
            </w:r>
          </w:p>
        </w:tc>
        <w:tc>
          <w:tcPr>
            <w:tcW w:type="dxa" w:w="766"/>
          </w:tcPr>
          <w:p>
            <w:pPr>
              <w:pStyle w:val="Compact"/>
              <w:jc w:val="center"/>
            </w:pPr>
            <w:r>
              <w:rPr>
                <w:sz w:val="18"/>
                <w:szCs w:val="18"/>
              </w:rPr>
              <w:t xml:space="preserve">HO</w:t>
            </w:r>
          </w:p>
        </w:tc>
        <w:tc>
          <w:tcPr>
            <w:tcW w:type="dxa" w:w="766"/>
          </w:tcPr>
          <w:p>
            <w:pPr>
              <w:pStyle w:val="Compact"/>
              <w:jc w:val="center"/>
            </w:pPr>
            <w:r>
              <w:rPr>
                <w:sz w:val="18"/>
                <w:szCs w:val="18"/>
              </w:rPr>
              <w:t xml:space="preserve">EN</w:t>
            </w:r>
          </w:p>
        </w:tc>
        <w:tc>
          <w:tcPr>
            <w:tcW w:type="dxa" w:w="766"/>
          </w:tcPr>
          <w:p>
            <w:pPr>
              <w:pStyle w:val="Compact"/>
              <w:jc w:val="center"/>
            </w:pPr>
            <w:r>
              <w:rPr>
                <w:sz w:val="18"/>
                <w:szCs w:val="18"/>
              </w:rPr>
              <w:t xml:space="preserve">QG</w:t>
            </w:r>
          </w:p>
        </w:tc>
      </w:tr>
      <w:tr>
        <w:tc>
          <w:tcPr>
            <w:tcW w:type="dxa" w:w="766"/>
          </w:tcPr>
          <w:p>
            <w:pPr>
              <w:pStyle w:val="Compact"/>
              <w:jc w:val="left"/>
            </w:pPr>
            <w:r>
              <w:rPr>
                <w:sz w:val="18"/>
                <w:szCs w:val="18"/>
              </w:rPr>
              <w:t xml:space="preserve">KMeans [3]</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Spectral Clustering [4]</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HDBSCAN [5]</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Louvain [7]</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Leiden [8]</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DEC [27]</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DPC-AKNN [17]</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partial</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Cluster Ensembles [18]</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r>
      <w:tr>
        <w:tc>
          <w:tcPr>
            <w:tcW w:type="dxa" w:w="766"/>
          </w:tcPr>
          <w:p>
            <w:pPr>
              <w:pStyle w:val="Compact"/>
              <w:jc w:val="left"/>
            </w:pPr>
            <w:r>
              <w:rPr>
                <w:b/>
                <w:bCs/>
                <w:sz w:val="18"/>
                <w:szCs w:val="18"/>
              </w:rPr>
              <w:t xml:space="preserve">DEAC (ours)</w:t>
            </w:r>
          </w:p>
        </w:tc>
        <w:tc>
          <w:tcPr>
            <w:tcW w:type="dxa" w:w="766"/>
          </w:tcPr>
          <w:p>
            <w:pPr>
              <w:pStyle w:val="Compact"/>
              <w:jc w:val="center"/>
            </w:pPr>
            <m:oMath>
              <m:r>
                <m:rPr>
                  <m:sty m:val="p"/>
                </m:rPr>
                <m:t>✓</m:t>
              </m:r>
            </m:oMath>
          </w:p>
        </w:tc>
        <w:tc>
          <w:tcPr>
            <w:tcW w:type="dxa" w:w="766"/>
          </w:tcPr>
          <w:p>
            <w:pPr>
              <w:pStyle w:val="Compact"/>
              <w:jc w:val="center"/>
            </w:pPr>
            <m:oMath>
              <m:r>
                <m:rPr>
                  <m:sty m:val="p"/>
                </m:rPr>
                <m:t>✓</m:t>
              </m:r>
            </m:oMath>
          </w:p>
        </w:tc>
        <w:tc>
          <w:tcPr>
            <w:tcW w:type="dxa" w:w="766"/>
          </w:tcPr>
          <w:p>
            <w:pPr>
              <w:pStyle w:val="Compact"/>
              <w:jc w:val="center"/>
            </w:pPr>
            <m:oMath>
              <m:r>
                <m:rPr>
                  <m:sty m:val="p"/>
                </m:rPr>
                <m:t>✓</m:t>
              </m:r>
            </m:oMath>
          </w:p>
        </w:tc>
        <w:tc>
          <w:tcPr>
            <w:tcW w:type="dxa" w:w="766"/>
          </w:tcPr>
          <w:p>
            <w:pPr>
              <w:pStyle w:val="Compact"/>
              <w:jc w:val="center"/>
            </w:pPr>
            <m:oMath>
              <m:r>
                <m:rPr>
                  <m:sty m:val="p"/>
                </m:rPr>
                <m:t>✓</m:t>
              </m:r>
            </m:oMath>
          </w:p>
        </w:tc>
        <w:tc>
          <w:tcPr>
            <w:tcW w:type="dxa" w:w="766"/>
          </w:tcPr>
          <w:p>
            <w:pPr>
              <w:pStyle w:val="Compact"/>
              <w:jc w:val="center"/>
            </w:pPr>
            <m:oMath>
              <m:r>
                <m:rPr>
                  <m:sty m:val="p"/>
                </m:rPr>
                <m:t>✓</m:t>
              </m:r>
            </m:oMath>
          </w:p>
        </w:tc>
      </w:tr>
    </w:tbl>
    <w:bookmarkEnd w:id="18"/>
    <w:bookmarkEnd w:id="19"/>
    <w:bookmarkEnd w:id="20"/>
    <w:bookmarkStart w:id="50" w:name="sec:method"/>
    <w:p>
      <w:pPr>
        <w:pStyle w:val="Heading1"/>
        <w:jc w:val="left"/>
      </w:pPr>
      <w:r>
        <w:rPr>
          <w:rFonts w:ascii="Times New Roman" w:hAnsi="Times New Roman" w:cs="Times New Roman"/>
          <w:b/>
          <w:color w:val="000000"/>
          <w:sz w:val="24"/>
        </w:rPr>
        <w:t>3.  Proposed Method: DEAC Framework</w:t>
      </w:r>
    </w:p>
    <w:bookmarkStart w:id="25" w:name="system-overview"/>
    <w:p>
      <w:pPr>
        <w:pStyle w:val="Heading2"/>
        <w:jc w:val="left"/>
      </w:pPr>
      <w:r>
        <w:rPr>
          <w:rFonts w:ascii="Times New Roman" w:hAnsi="Times New Roman" w:cs="Times New Roman"/>
          <w:b/>
          <w:color w:val="000000"/>
          <w:sz w:val="22"/>
        </w:rPr>
        <w:t>System Overview</w:t>
      </w:r>
    </w:p>
    <w:p>
      <w:pPr>
        <w:pStyle w:val="FirstParagraph"/>
        <w:spacing w:before="0" w:after="0" w:line="240" w:lineRule="auto"/>
        <w:ind w:firstLine="330"/>
        <w:jc w:val="both"/>
      </w:pPr>
      <w:r>
        <w:t xml:space="preserve">The DEAC framework is organized as four sequential layers (Fig. </w:t>
      </w:r>
      <w:hyperlink w:anchor="fig:system">
        <w:r>
          <w:rPr>
            <w:rStyle w:val="Hyperlink"/>
          </w:rPr>
          <w:t xml:space="preserve">1</w:t>
        </w:r>
      </w:hyperlink>
      <w:r>
        <w:t xml:space="preserve">): an</w:t>
      </w:r>
      <w:r>
        <w:t xml:space="preserve"> </w:t>
      </w:r>
      <w:r>
        <w:rPr>
          <w:i/>
          <w:iCs/>
        </w:rPr>
        <w:t xml:space="preserve">Input Layer</w:t>
      </w:r>
      <w:r>
        <w:t xml:space="preserve"> </w:t>
      </w:r>
      <w:r>
        <w:t xml:space="preserve">receiving raw data, a</w:t>
      </w:r>
      <w:r>
        <w:t xml:space="preserve"> </w:t>
      </w:r>
      <w:r>
        <w:rPr>
          <w:i/>
          <w:iCs/>
        </w:rPr>
        <w:t xml:space="preserve">Preprocessing Layer</w:t>
      </w:r>
      <w:r>
        <w:t xml:space="preserve"> </w:t>
      </w:r>
      <w:r>
        <w:t xml:space="preserve">that caches multiple representations, an</w:t>
      </w:r>
      <w:r>
        <w:t xml:space="preserve"> </w:t>
      </w:r>
      <w:r>
        <w:rPr>
          <w:i/>
          <w:iCs/>
        </w:rPr>
        <w:t xml:space="preserve">Engine Layer</w:t>
      </w:r>
      <w:r>
        <w:t xml:space="preserve"> </w:t>
      </w:r>
      <w:r>
        <w:t xml:space="preserve">where three clustering engines run in parallel, and an</w:t>
      </w:r>
      <w:r>
        <w:t xml:space="preserve"> </w:t>
      </w:r>
      <w:r>
        <w:rPr>
          <w:i/>
          <w:iCs/>
        </w:rPr>
        <w:t xml:space="preserve">Arbitration Layer</w:t>
      </w:r>
      <w:r>
        <w:t xml:space="preserve"> </w:t>
      </w:r>
      <w:r>
        <w:t xml:space="preserve">in which the QualityGate selects the final output. Before examining each engine in turn, we describe the graph-clustering pipeline they share.</w:t>
      </w:r>
    </w:p>
    <w:bookmarkStart w:id="24" w:name="fig:system"/>
    <w:p>
      <w:pPr>
        <w:pStyle w:val="CaptionedFigure"/>
      </w:pPr>
      <w:r>
        <w:drawing>
          <wp:inline>
            <wp:extent cx="2842895" cy="1895263"/>
            <wp:effectExtent b="0" l="0" r="0" t="0"/>
            <wp:docPr descr="" title="" id="22" name="Picture"/>
            <a:graphic>
              <a:graphicData uri="http://schemas.openxmlformats.org/drawingml/2006/picture">
                <pic:pic>
                  <pic:nvPicPr>
                    <pic:cNvPr descr="figures/system_overview.png" id="23" name="Picture"/>
                    <pic:cNvPicPr>
                      <a:picLocks noChangeArrowheads="1" noChangeAspect="1"/>
                    </pic:cNvPicPr>
                  </pic:nvPicPr>
                  <pic:blipFill>
                    <a:blip r:embed="rId21"/>
                    <a:stretch>
                      <a:fillRect/>
                    </a:stretch>
                  </pic:blipFill>
                  <pic:spPr bwMode="auto">
                    <a:xfrm>
                      <a:off x="0" y="0"/>
                      <a:ext cx="2842895" cy="1895263"/>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1. </w:t>
      </w:r>
      <w:r>
        <w:rPr>
          <w:rFonts w:ascii="Times New Roman" w:hAnsi="Times New Roman" w:cs="Times New Roman"/>
          <w:color w:val="000000"/>
          <w:sz w:val="20"/>
        </w:rPr>
        <w:t xml:space="preserve">DEAC framework architecture. Four processing layers with three parallel clustering engines whose outputs are arbitrated by the QualityGate.</w:t>
      </w:r>
    </w:p>
    <w:bookmarkEnd w:id="24"/>
    <w:bookmarkEnd w:id="25"/>
    <w:bookmarkStart w:id="30" w:name="graph-based-clustering-pipeline"/>
    <w:p>
      <w:pPr>
        <w:pStyle w:val="Heading2"/>
        <w:jc w:val="left"/>
      </w:pPr>
      <w:r>
        <w:rPr>
          <w:rFonts w:ascii="Times New Roman" w:hAnsi="Times New Roman" w:cs="Times New Roman"/>
          <w:b/>
          <w:color w:val="000000"/>
          <w:sz w:val="22"/>
        </w:rPr>
        <w:t>Graph-Based Clustering Pipeline</w:t>
      </w:r>
    </w:p>
    <w:p>
      <w:pPr>
        <w:pStyle w:val="FirstParagraph"/>
        <w:spacing w:before="0" w:after="0" w:line="240" w:lineRule="auto"/>
        <w:ind w:firstLine="330"/>
        <w:jc w:val="both"/>
      </w:pPr>
      <w:r>
        <w:t xml:space="preserve">Both engines drive the same eight-step pipeline (Fig. </w:t>
      </w:r>
      <w:hyperlink w:anchor="fig:pipeline">
        <w:r>
          <w:rPr>
            <w:rStyle w:val="Hyperlink"/>
          </w:rPr>
          <w:t xml:space="preserve">2</w:t>
        </w:r>
      </w:hyperlink>
      <w:r>
        <w:t xml:space="preserve">) that turns raw data</w:t>
      </w:r>
      <w:r>
        <w:t xml:space="preserve"> </w:t>
      </w:r>
      <m:oMath>
        <m:r>
          <m:rPr>
            <m:sty m:val="bi"/>
          </m:rPr>
          <m:t>X</m:t>
        </m:r>
        <m:r>
          <m:rPr>
            <m:sty m:val="p"/>
          </m:rPr>
          <m:t>∈</m:t>
        </m:r>
        <m:sSup>
          <m:e>
            <m:r>
              <m:rPr>
                <m:scr m:val="double-struck"/>
                <m:sty m:val="p"/>
              </m:rPr>
              <m:t>R</m:t>
            </m:r>
          </m:e>
          <m:sup>
            <m:r>
              <m:t>n</m:t>
            </m:r>
            <m:r>
              <m:rPr>
                <m:sty m:val="p"/>
              </m:rPr>
              <m:t>×</m:t>
            </m:r>
            <m:r>
              <m:t>d</m:t>
            </m:r>
          </m:sup>
        </m:sSup>
      </m:oMath>
      <w:r>
        <w:t xml:space="preserve"> </w:t>
      </w:r>
      <w:r>
        <w:t xml:space="preserve">into labels</w:t>
      </w:r>
      <w:r>
        <w:t xml:space="preserve"> </w:t>
      </w:r>
      <m:oMath>
        <m:acc>
          <m:accPr>
            <m:chr m:val="̂"/>
          </m:accPr>
          <m:e>
            <m:r>
              <m:rPr>
                <m:sty m:val="bi"/>
              </m:rPr>
              <m:t>y</m:t>
            </m:r>
          </m:e>
        </m:acc>
      </m:oMath>
      <w:r>
        <w:t xml:space="preserve">. The engines differ only in how they score and search inside that pipeline, starting with AMR-DE.</w:t>
      </w:r>
    </w:p>
    <w:bookmarkStart w:id="29" w:name="fig:pipeline"/>
    <w:tbl>
      <w:tblPr>
        <w:tblStyle w:val="FigureTable"/>
        <w:tblW w:type="dxa" w:w="4596"/>
        <w:jc w:val="center"/>
        <w:tblLook w:firstRow="0" w:lastRow="0" w:firstColumn="0" w:lastColumn="0"/>
        <w:tblLayout w:type="fixed"/>
      </w:tblPr>
      <w:tblGrid>
        <w:gridCol w:w="2298"/>
        <w:gridCol w:w="2298"/>
      </w:tblGrid>
      <w:tr>
        <w:tc>
          <w:tcPr>
            <w:tcW w:type="dxa" w:w="2298"/>
          </w:tcPr>
          <w:p>
            <w:pPr>
              <w:pStyle w:val="Compact"/>
              <w:jc w:val="center"/>
            </w:pPr>
            <w:r>
              <w:drawing>
                <wp:inline>
                  <wp:extent cx="1383030" cy="800127"/>
                  <wp:effectExtent b="0" l="0" r="0" t="0"/>
                  <wp:docPr descr="" title="" id="27" name="Picture"/>
                  <a:graphic>
                    <a:graphicData uri="http://schemas.openxmlformats.org/drawingml/2006/picture">
                      <pic:pic>
                        <pic:nvPicPr>
                          <pic:cNvPr descr="figures/pipeline_overview.png" id="28" name="Picture"/>
                          <pic:cNvPicPr>
                            <a:picLocks noChangeArrowheads="1" noChangeAspect="1"/>
                          </pic:cNvPicPr>
                        </pic:nvPicPr>
                        <pic:blipFill>
                          <a:blip r:embed="rId26"/>
                          <a:stretch>
                            <a:fillRect/>
                          </a:stretch>
                        </pic:blipFill>
                        <pic:spPr bwMode="auto">
                          <a:xfrm>
                            <a:off x="0" y="0"/>
                            <a:ext cx="1383030" cy="800127"/>
                          </a:xfrm>
                          <a:prstGeom prst="rect">
                            <a:avLst/>
                          </a:prstGeom>
                          <a:noFill/>
                          <a:ln w="9525">
                            <a:noFill/>
                            <a:headEnd/>
                            <a:tailEnd/>
                          </a:ln>
                        </pic:spPr>
                      </pic:pic>
                    </a:graphicData>
                  </a:graphic>
                </wp:inline>
              </w:drawing>
            </w:r>
          </w:p>
        </w:tc>
        <w:tc>
          <w:tcPr>
            <w:tcW w:type="dxa" w:w="2298"/>
          </w:tcPr>
          <w:p>
            <w:pPr>
              <w:jc w:val="center"/>
            </w:pPr>
            <w:r>
              <w:t xml:space="preserve"> </w:t>
            </w:r>
            <m:oMath>
              <m:sSubSup>
                <m:e>
                  <m:r>
                    <m:t>w</m:t>
                  </m:r>
                </m:e>
                <m:sub>
                  <m:r>
                    <m:t>i</m:t>
                  </m:r>
                  <m:r>
                    <m:t>j</m:t>
                  </m:r>
                </m:sub>
                <m:sup>
                  <m:r>
                    <m:t>K</m:t>
                  </m:r>
                  <m:r>
                    <m:t>N</m:t>
                  </m:r>
                  <m:r>
                    <m:t>N</m:t>
                  </m:r>
                </m:sup>
              </m:sSubSup>
              <m:r>
                <m:rPr>
                  <m:sty m:val="p"/>
                </m:rPr>
                <m:t>=</m:t>
              </m:r>
              <m:r>
                <m:rPr>
                  <m:sty m:val="p"/>
                </m:rPr>
                <m:t>(</m:t>
              </m:r>
              <m:r>
                <m:t>1</m:t>
              </m:r>
              <m:r>
                <m:rPr>
                  <m:sty m:val="p"/>
                </m:rPr>
                <m:t>+</m:t>
              </m:r>
              <m:r>
                <m:rPr>
                  <m:sty m:val="p"/>
                </m:rPr>
                <m:t>cos</m:t>
              </m:r>
              <m:r>
                <m:rPr>
                  <m:sty m:val="p"/>
                </m:rPr>
                <m:t>(</m:t>
              </m:r>
              <m:sSub>
                <m:e>
                  <m:r>
                    <m:rPr>
                      <m:sty m:val="bi"/>
                    </m:rPr>
                    <m:t>z</m:t>
                  </m:r>
                </m:e>
                <m:sub>
                  <m:r>
                    <m:t>i</m:t>
                  </m:r>
                </m:sub>
              </m:sSub>
              <m:r>
                <m:rPr>
                  <m:sty m:val="p"/>
                </m:rPr>
                <m:t>,</m:t>
              </m:r>
              <m:sSub>
                <m:e>
                  <m:r>
                    <m:rPr>
                      <m:sty m:val="bi"/>
                    </m:rPr>
                    <m:t>z</m:t>
                  </m:r>
                </m:e>
                <m:sub>
                  <m:r>
                    <m:t>j</m:t>
                  </m:r>
                </m:sub>
              </m:sSub>
              <m:r>
                <m:rPr>
                  <m:sty m:val="p"/>
                </m:rPr>
                <m:t>)</m:t>
              </m:r>
              <m:r>
                <m:rPr>
                  <m:sty m:val="p"/>
                </m:rPr>
                <m:t>)</m:t>
              </m:r>
              <m:r>
                <m:rPr>
                  <m:sty m:val="p"/>
                </m:rPr>
                <m:t>/</m:t>
              </m:r>
              <m:r>
                <m:t>2</m:t>
              </m:r>
            </m:oMath>
            <w:r>
              <w:t xml:space="preserve"> </w:t>
            </w:r>
            <m:oMath>
              <m:sSubSup>
                <m:e>
                  <m:r>
                    <m:t>w</m:t>
                  </m:r>
                </m:e>
                <m:sub>
                  <m:r>
                    <m:t>i</m:t>
                  </m:r>
                  <m:r>
                    <m:t>j</m:t>
                  </m:r>
                </m:sub>
                <m:sup>
                  <m:r>
                    <m:t>S</m:t>
                  </m:r>
                  <m:r>
                    <m:t>N</m:t>
                  </m:r>
                  <m:r>
                    <m:t>N</m:t>
                  </m:r>
                </m:sup>
              </m:sSubSup>
              <m:r>
                <m:rPr>
                  <m:sty m:val="p"/>
                </m:rPr>
                <m:t>=</m:t>
              </m:r>
              <m:r>
                <m:rPr>
                  <m:sty m:val="p"/>
                </m:rPr>
                <m:t>|</m:t>
              </m:r>
              <m:sSub>
                <m:e>
                  <m:r>
                    <m:t>N</m:t>
                  </m:r>
                </m:e>
                <m:sub>
                  <m:r>
                    <m:t>k</m:t>
                  </m:r>
                </m:sub>
              </m:sSub>
              <m:r>
                <m:rPr>
                  <m:sty m:val="p"/>
                </m:rPr>
                <m:t>(</m:t>
              </m:r>
              <m:r>
                <m:t>i</m:t>
              </m:r>
              <m:r>
                <m:rPr>
                  <m:sty m:val="p"/>
                </m:rPr>
                <m:t>)</m:t>
              </m:r>
              <m:r>
                <m:rPr>
                  <m:sty m:val="p"/>
                </m:rPr>
                <m:t>∩</m:t>
              </m:r>
              <m:sSub>
                <m:e>
                  <m:r>
                    <m:t>N</m:t>
                  </m:r>
                </m:e>
                <m:sub>
                  <m:r>
                    <m:t>k</m:t>
                  </m:r>
                </m:sub>
              </m:sSub>
              <m:r>
                <m:rPr>
                  <m:sty m:val="p"/>
                </m:rPr>
                <m:t>(</m:t>
              </m:r>
              <m:r>
                <m:t>j</m:t>
              </m:r>
              <m:r>
                <m:rPr>
                  <m:sty m:val="p"/>
                </m:rPr>
                <m:t>)</m:t>
              </m:r>
              <m:r>
                <m:rPr>
                  <m:sty m:val="p"/>
                </m:rPr>
                <m:t>|</m:t>
              </m:r>
              <m:r>
                <m:rPr>
                  <m:sty m:val="p"/>
                </m:rPr>
                <m:t>/</m:t>
              </m:r>
              <m:r>
                <m:t>k</m:t>
              </m:r>
            </m:oMath>
            <w:r>
              <w:t xml:space="preserve"> </w:t>
            </w:r>
            <m:oMath>
              <m:r>
                <m:t>Q</m:t>
              </m:r>
              <m:r>
                <m:rPr>
                  <m:sty m:val="p"/>
                </m:rPr>
                <m:t>=</m:t>
              </m:r>
              <m:f>
                <m:fPr>
                  <m:type m:val="bar"/>
                </m:fPr>
                <m:num>
                  <m:r>
                    <m:t>1</m:t>
                  </m:r>
                </m:num>
                <m:den>
                  <m:r>
                    <m:t>2</m:t>
                  </m:r>
                  <m:r>
                    <m:t>m</m:t>
                  </m:r>
                </m:den>
              </m:f>
              <m:nary>
                <m:naryPr>
                  <m:chr m:val="∑"/>
                  <m:limLoc m:val="undOvr"/>
                  <m:subHide m:val="off"/>
                  <m:supHide m:val="on"/>
                </m:naryPr>
                <m:sub>
                  <m:r>
                    <m:t>i</m:t>
                  </m:r>
                  <m:r>
                    <m:t>j</m:t>
                  </m:r>
                </m:sub>
                <m:sup>
                  <m:r>
                    <m:t>​</m:t>
                  </m:r>
                </m:sup>
                <m:e>
                  <m:d>
                    <m:dPr>
                      <m:begChr m:val="["/>
                      <m:sepChr m:val=""/>
                      <m:endChr m:val="]"/>
                      <m:grow/>
                    </m:dPr>
                    <m:e>
                      <m:sSub>
                        <m:e>
                          <m:r>
                            <m:t>A</m:t>
                          </m:r>
                        </m:e>
                        <m:sub>
                          <m:r>
                            <m:t>i</m:t>
                          </m:r>
                          <m:r>
                            <m:t>j</m:t>
                          </m:r>
                        </m:sub>
                      </m:sSub>
                      <m:r>
                        <m:rPr>
                          <m:sty m:val="p"/>
                        </m:rPr>
                        <m:t>−</m:t>
                      </m:r>
                      <m:f>
                        <m:fPr>
                          <m:type m:val="bar"/>
                        </m:fPr>
                        <m:num>
                          <m:sSub>
                            <m:e>
                              <m:r>
                                <m:t>d</m:t>
                              </m:r>
                            </m:e>
                            <m:sub>
                              <m:r>
                                <m:t>i</m:t>
                              </m:r>
                            </m:sub>
                          </m:sSub>
                          <m:sSub>
                            <m:e>
                              <m:r>
                                <m:t>d</m:t>
                              </m:r>
                            </m:e>
                            <m:sub>
                              <m:r>
                                <m:t>j</m:t>
                              </m:r>
                            </m:sub>
                          </m:sSub>
                        </m:num>
                        <m:den>
                          <m:r>
                            <m:t>2</m:t>
                          </m:r>
                          <m:r>
                            <m:t>m</m:t>
                          </m:r>
                        </m:den>
                      </m:f>
                    </m:e>
                  </m:d>
                </m:e>
              </m:nary>
              <m:r>
                <m:t>δ</m:t>
              </m:r>
              <m:r>
                <m:rPr>
                  <m:sty m:val="p"/>
                </m:rPr>
                <m:t>(</m:t>
              </m:r>
              <m:sSub>
                <m:e>
                  <m:r>
                    <m:t>c</m:t>
                  </m:r>
                </m:e>
                <m:sub>
                  <m:r>
                    <m:t>i</m:t>
                  </m:r>
                </m:sub>
              </m:sSub>
              <m:r>
                <m:rPr>
                  <m:sty m:val="p"/>
                </m:rPr>
                <m:t>,</m:t>
              </m:r>
              <m:sSub>
                <m:e>
                  <m:r>
                    <m:t>c</m:t>
                  </m:r>
                </m:e>
                <m:sub>
                  <m:r>
                    <m:t>j</m:t>
                  </m:r>
                </m:sub>
              </m:sSub>
              <m:r>
                <m:rPr>
                  <m:sty m:val="p"/>
                </m:rPr>
                <m:t>)</m:t>
              </m:r>
            </m:oMath>
            <w:r>
              <w:t xml:space="preserve"> </w:t>
            </w:r>
            <m:oMath>
              <m:r>
                <m:t>S</m:t>
              </m:r>
              <m:r>
                <m:rPr>
                  <m:sty m:val="p"/>
                </m:rPr>
                <m:t>=</m:t>
              </m:r>
              <m:f>
                <m:fPr>
                  <m:type m:val="bar"/>
                </m:fPr>
                <m:num>
                  <m:r>
                    <m:t>1</m:t>
                  </m:r>
                </m:num>
                <m:den>
                  <m:r>
                    <m:t>n</m:t>
                  </m:r>
                </m:den>
              </m:f>
              <m:nary>
                <m:naryPr>
                  <m:chr m:val="∑"/>
                  <m:limLoc m:val="undOvr"/>
                  <m:subHide m:val="off"/>
                  <m:supHide m:val="on"/>
                </m:naryPr>
                <m:sub>
                  <m:r>
                    <m:t>i</m:t>
                  </m:r>
                </m:sub>
                <m:sup>
                  <m:r>
                    <m:t>​</m:t>
                  </m:r>
                </m:sup>
                <m:e>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e>
              </m:nary>
            </m:oMath>
            <w:r>
              <w:t xml:space="preserve"> </w:t>
            </w:r>
            <m:oMath>
              <m:r>
                <m:t>B</m:t>
              </m:r>
              <m:r>
                <m:rPr>
                  <m:sty m:val="p"/>
                </m:rPr>
                <m:t>=</m:t>
              </m:r>
              <m:r>
                <m:t>H</m:t>
              </m:r>
              <m:r>
                <m:rPr>
                  <m:sty m:val="p"/>
                </m:rPr>
                <m:t>(</m:t>
              </m:r>
              <m:acc>
                <m:accPr>
                  <m:chr m:val="̂"/>
                </m:accPr>
                <m:e>
                  <m:r>
                    <m:rPr>
                      <m:sty m:val="bi"/>
                    </m:rPr>
                    <m:t>y</m:t>
                  </m:r>
                </m:e>
              </m:acc>
              <m:r>
                <m:rPr>
                  <m:sty m:val="p"/>
                </m:rPr>
                <m:t>)</m:t>
              </m:r>
              <m:r>
                <m:rPr>
                  <m:sty m:val="p"/>
                </m:rPr>
                <m:t>/</m:t>
              </m:r>
              <m:r>
                <m:rPr>
                  <m:sty m:val="p"/>
                </m:rPr>
                <m:t>log</m:t>
              </m:r>
              <m:r>
                <m:t>C</m:t>
              </m:r>
            </m:oMath>
          </w:p>
        </w:tc>
      </w:tr>
    </w:tbl>
    <w:p>
      <w:pPr>
        <w:pStyle w:val="ImageCaption"/>
        <w:jc w:val="center"/>
      </w:pPr>
      <w:r>
        <w:rPr>
          <w:rFonts w:ascii="Times New Roman" w:hAnsi="Times New Roman" w:cs="Times New Roman"/>
          <w:color w:val="000000"/>
          <w:sz w:val="20"/>
        </w:rPr>
        <w:t xml:space="preserve">Fig. 2. </w:t>
      </w:r>
      <w:r>
        <w:rPr>
          <w:rFonts w:ascii="Times New Roman" w:hAnsi="Times New Roman" w:cs="Times New Roman"/>
          <w:color w:val="000000"/>
          <w:sz w:val="20"/>
        </w:rPr>
        <w:t xml:space="preserve">Graph-based clustering pipeline (8 steps) shared by both engines. Key equations for KNN/SNN weighting and quality metrics are shown below.</w:t>
      </w:r>
    </w:p>
    <w:bookmarkEnd w:id="29"/>
    <w:bookmarkEnd w:id="30"/>
    <w:bookmarkStart w:id="35" w:name="engine-1-amr-de"/>
    <w:p>
      <w:pPr>
        <w:pStyle w:val="Heading2"/>
        <w:jc w:val="left"/>
      </w:pPr>
      <w:r>
        <w:rPr>
          <w:rFonts w:ascii="Times New Roman" w:hAnsi="Times New Roman" w:cs="Times New Roman"/>
          <w:b/>
          <w:color w:val="000000"/>
          <w:sz w:val="22"/>
        </w:rPr>
        <w:t>Engine 1: AMR-DE</w:t>
      </w:r>
    </w:p>
    <w:p>
      <w:pPr>
        <w:pStyle w:val="FirstParagraph"/>
        <w:spacing w:before="0" w:after="0" w:line="240" w:lineRule="auto"/>
        <w:ind w:firstLine="330"/>
        <w:jc w:val="both"/>
      </w:pPr>
      <w:r>
        <w:t xml:space="preserve">AMR-DE (Fig. </w:t>
      </w:r>
      <w:hyperlink w:anchor="fig:amrde">
        <w:r>
          <w:rPr>
            <w:rStyle w:val="Hyperlink"/>
          </w:rPr>
          <w:t xml:space="preserve">3</w:t>
        </w:r>
      </w:hyperlink>
      <w:r>
        <w:t xml:space="preserve">) runs in two stages.</w:t>
      </w:r>
      <w:r>
        <w:t xml:space="preserve"> </w:t>
      </w:r>
      <w:r>
        <w:rPr>
          <w:b/>
          <w:bCs/>
        </w:rPr>
        <w:t xml:space="preserve">Stage 1 (RepScan)</w:t>
      </w:r>
      <w:r>
        <w:t xml:space="preserve"> </w:t>
      </w:r>
      <w:r>
        <w:t xml:space="preserve">scores five representations with default graph parameters and selects the one that maximizes the composite score</w:t>
      </w:r>
    </w:p>
    <w:p>
      <w:pPr>
        <w:pStyle w:val="BodyText"/>
        <w:spacing w:before="0" w:after="0" w:line="240" w:lineRule="auto"/>
        <w:ind w:firstLine="330"/>
        <w:jc w:val="both"/>
      </w:pPr>
      <m:oMathPara>
        <m:oMathParaPr>
          <m:jc m:val="center"/>
        </m:oMathParaPr>
        <m:oMath>
          <m:sSub>
            <m:e>
              <m:r>
                <m:t>s</m:t>
              </m:r>
            </m:e>
            <m:sub>
              <m:r>
                <m:rPr>
                  <m:nor/>
                  <m:sty m:val="p"/>
                </m:rPr>
                <m:t>rep</m:t>
              </m:r>
            </m:sub>
          </m:sSub>
          <m:r>
            <m:rPr>
              <m:sty m:val="p"/>
            </m:rPr>
            <m:t>=</m:t>
          </m:r>
          <m:r>
            <m:t>0.30</m:t>
          </m:r>
          <m:r>
            <m:t> </m:t>
          </m:r>
          <m:sSub>
            <m:e>
              <m:r>
                <m:rPr>
                  <m:nor/>
                  <m:sty m:val="p"/>
                </m:rPr>
                <m:t>MOD</m:t>
              </m:r>
            </m:e>
            <m:sub>
              <m:r>
                <m:t>01</m:t>
              </m:r>
            </m:sub>
          </m:sSub>
          <m:r>
            <m:rPr>
              <m:sty m:val="p"/>
            </m:rPr>
            <m:t>+</m:t>
          </m:r>
          <m:r>
            <m:t>0.40</m:t>
          </m:r>
          <m:r>
            <m:t> </m:t>
          </m:r>
          <m:sSub>
            <m:e>
              <m:r>
                <m:rPr>
                  <m:nor/>
                  <m:sty m:val="p"/>
                </m:rPr>
                <m:t>SIL</m:t>
              </m:r>
            </m:e>
            <m:sub>
              <m:r>
                <m:t>01</m:t>
              </m:r>
            </m:sub>
          </m:sSub>
          <m:r>
            <m:rPr>
              <m:sty m:val="p"/>
            </m:rPr>
            <m:t>+</m:t>
          </m:r>
          <m:r>
            <m:t>0.30</m:t>
          </m:r>
          <m:r>
            <m:t> </m:t>
          </m:r>
          <m:sSub>
            <m:e>
              <m:r>
                <m:rPr>
                  <m:nor/>
                  <m:sty m:val="p"/>
                </m:rPr>
                <m:t>CH</m:t>
              </m:r>
            </m:e>
            <m:sub>
              <m:r>
                <m:t>01</m:t>
              </m:r>
            </m:sub>
          </m:sSub>
          <m:r>
            <m:rPr>
              <m:sty m:val="p"/>
            </m:rPr>
            <m:t>,</m:t>
          </m:r>
        </m:oMath>
      </m:oMathPara>
    </w:p>
    <w:p>
      <w:pPr>
        <w:pStyle w:val="FirstParagraph"/>
        <w:spacing w:before="0" w:after="0" w:line="240" w:lineRule="auto"/>
        <w:ind w:firstLine="330"/>
        <w:jc w:val="both"/>
      </w:pPr>
      <w:r>
        <w:t xml:space="preserve">where MOD</w:t>
      </w:r>
      <m:oMath>
        <m:sSub>
          <m:e>
            <m:r>
              <m:t>​</m:t>
            </m:r>
          </m:e>
          <m:sub>
            <m:r>
              <m:t>01</m:t>
            </m:r>
          </m:sub>
        </m:sSub>
      </m:oMath>
      <w:r>
        <w:t xml:space="preserve">, SIL</w:t>
      </w:r>
      <m:oMath>
        <m:sSub>
          <m:e>
            <m:r>
              <m:t>​</m:t>
            </m:r>
          </m:e>
          <m:sub>
            <m:r>
              <m:t>01</m:t>
            </m:r>
          </m:sub>
        </m:sSub>
      </m:oMath>
      <w:r>
        <w:t xml:space="preserve">, and CH</w:t>
      </w:r>
      <m:oMath>
        <m:sSub>
          <m:e>
            <m:r>
              <m:t>​</m:t>
            </m:r>
          </m:e>
          <m:sub>
            <m:r>
              <m:t>01</m:t>
            </m:r>
          </m:sub>
        </m:sSub>
      </m:oMath>
      <w:r>
        <w:t xml:space="preserve"> </w:t>
      </w:r>
      <w:r>
        <w:t xml:space="preserve">are the</w:t>
      </w:r>
      <w:r>
        <w:t xml:space="preserve"> </w:t>
      </w:r>
      <m:oMath>
        <m:r>
          <m:rPr>
            <m:sty m:val="p"/>
          </m:rPr>
          <m:t>[</m:t>
        </m:r>
        <m:r>
          <m:t>0</m:t>
        </m:r>
        <m:r>
          <m:rPr>
            <m:sty m:val="p"/>
          </m:rPr>
          <m:t>,</m:t>
        </m:r>
        <m:r>
          <m:t>1</m:t>
        </m:r>
        <m:r>
          <m:rPr>
            <m:sty m:val="p"/>
          </m:rPr>
          <m:t>]</m:t>
        </m:r>
      </m:oMath>
      <w:r>
        <w:t xml:space="preserve">-normalized modularity, silhouette, and Calinski–Harabasz scores.</w:t>
      </w:r>
      <w:r>
        <w:t xml:space="preserve"> </w:t>
      </w:r>
      <w:r>
        <w:rPr>
          <w:b/>
          <w:bCs/>
        </w:rPr>
        <w:t xml:space="preserve">Stage 2 (Multi-Restart DE)</w:t>
      </w:r>
      <w:r>
        <w:t xml:space="preserve"> </w:t>
      </w:r>
      <w:r>
        <w:t xml:space="preserve">then optimizes four graph hyperparameters</w:t>
      </w:r>
      <w:r>
        <w:t xml:space="preserve"> </w:t>
      </w:r>
      <m:oMath>
        <m:r>
          <m:rPr>
            <m:sty m:val="bi"/>
          </m:rPr>
          <m:t>θ</m:t>
        </m:r>
        <m:r>
          <m:rPr>
            <m:sty m:val="p"/>
          </m:rPr>
          <m:t>=</m:t>
        </m:r>
        <m:r>
          <m:rPr>
            <m:sty m:val="p"/>
          </m:rPr>
          <m:t>(</m:t>
        </m:r>
        <m:r>
          <m:t>k</m:t>
        </m:r>
        <m:r>
          <m:rPr>
            <m:sty m:val="p"/>
          </m:rPr>
          <m:t>,</m:t>
        </m:r>
        <m:sSup>
          <m:e>
            <m:r>
              <m:t>d</m:t>
            </m:r>
          </m:e>
          <m:sup>
            <m:r>
              <m:rPr>
                <m:sty m:val="p"/>
              </m:rPr>
              <m:t>′</m:t>
            </m:r>
          </m:sup>
        </m:sSup>
        <m:r>
          <m:rPr>
            <m:sty m:val="p"/>
          </m:rPr>
          <m:t>,</m:t>
        </m:r>
        <m:r>
          <m:t>q</m:t>
        </m:r>
        <m:r>
          <m:rPr>
            <m:sty m:val="p"/>
          </m:rPr>
          <m:t>,</m:t>
        </m:r>
        <m:r>
          <m:t>r</m:t>
        </m:r>
        <m:r>
          <m:rPr>
            <m:sty m:val="p"/>
          </m:rPr>
          <m:t>)</m:t>
        </m:r>
      </m:oMath>
      <w:r>
        <w:t xml:space="preserve"> </w:t>
      </w:r>
      <w:r>
        <w:t xml:space="preserve">on the fixed representation</w:t>
      </w:r>
      <w:r>
        <w:t xml:space="preserve"> </w:t>
      </w:r>
      <m:oMath>
        <m:sSup>
          <m:e>
            <m:r>
              <m:rPr>
                <m:sty m:val="bi"/>
              </m:rPr>
              <m:t>Z</m:t>
            </m:r>
          </m:e>
          <m:sup>
            <m:r>
              <m:rPr>
                <m:sty m:val="p"/>
              </m:rPr>
              <m:t>*</m:t>
            </m:r>
          </m:sup>
        </m:sSup>
      </m:oMath>
      <w:r>
        <w:t xml:space="preserve">. The fitness is a weighted sum of five quality metrics with penalties:</w:t>
      </w:r>
    </w:p>
    <w:p>
      <w:pPr>
        <w:pStyle w:val="BodyText"/>
        <w:spacing w:before="0" w:after="0" w:line="240" w:lineRule="auto"/>
        <w:ind w:firstLine="330"/>
        <w:jc w:val="both"/>
      </w:pPr>
      <m:oMathPara>
        <m:oMathParaPr>
          <m:jc m:val="center"/>
        </m:oMathParaPr>
        <m:oMath>
          <m:r>
            <m:t>f</m:t>
          </m:r>
          <m:r>
            <m:rPr>
              <m:sty m:val="p"/>
            </m:rPr>
            <m:t>(</m:t>
          </m:r>
          <m:r>
            <m:rPr>
              <m:sty m:val="bi"/>
            </m:rPr>
            <m:t>θ</m:t>
          </m:r>
          <m:r>
            <m:rPr>
              <m:sty m:val="p"/>
            </m:rPr>
            <m:t>)</m:t>
          </m:r>
          <m:r>
            <m:rPr>
              <m:sty m:val="p"/>
            </m:rPr>
            <m:t>=</m:t>
          </m:r>
          <m:r>
            <m:rPr>
              <m:sty m:val="p"/>
            </m:rPr>
            <m:t>−</m:t>
          </m:r>
          <m:r>
            <m:t>​</m:t>
          </m:r>
          <m:d>
            <m:dPr>
              <m:begChr m:val="("/>
              <m:sepChr m:val=""/>
              <m:endChr m:val=")"/>
              <m:grow/>
            </m:dPr>
            <m:e>
              <m:nary>
                <m:naryPr>
                  <m:chr m:val="∑"/>
                  <m:limLoc m:val="undOvr"/>
                  <m:subHide m:val="off"/>
                  <m:supHide m:val="on"/>
                </m:naryPr>
                <m:sub>
                  <m:r>
                    <m:t>m</m:t>
                  </m:r>
                  <m:r>
                    <m:rPr>
                      <m:sty m:val="p"/>
                    </m:rPr>
                    <m:t>∈</m:t>
                  </m:r>
                  <m:r>
                    <m:rPr>
                      <m:scr m:val="script"/>
                      <m:sty m:val="p"/>
                    </m:rPr>
                    <m:t>M</m:t>
                  </m:r>
                </m:sub>
                <m:sup>
                  <m:r>
                    <m:t>​</m:t>
                  </m:r>
                </m:sup>
                <m:e>
                  <m:sSub>
                    <m:e>
                      <m:r>
                        <m:t>w</m:t>
                      </m:r>
                    </m:e>
                    <m:sub>
                      <m:r>
                        <m:t>m</m:t>
                      </m:r>
                    </m:sub>
                  </m:sSub>
                </m:e>
              </m:nary>
              <m:r>
                <m:rPr>
                  <m:sty m:val="p"/>
                </m:rPr>
                <m:t>⋅</m:t>
              </m:r>
              <m:sSub>
                <m:e>
                  <m:r>
                    <m:t>m</m:t>
                  </m:r>
                </m:e>
                <m:sub>
                  <m:r>
                    <m:t>01</m:t>
                  </m:r>
                </m:sub>
              </m:sSub>
              <m:r>
                <m:rPr>
                  <m:sty m:val="p"/>
                </m:rPr>
                <m:t>−</m:t>
              </m:r>
              <m:r>
                <m:rPr>
                  <m:nor/>
                  <m:sty m:val="p"/>
                </m:rPr>
                <m:t>penalties</m:t>
              </m:r>
            </m:e>
          </m:d>
          <m:r>
            <m:rPr>
              <m:sty m:val="p"/>
            </m:rPr>
            <m:t>,</m:t>
          </m:r>
        </m:oMath>
      </m:oMathPara>
    </w:p>
    <w:p>
      <w:pPr>
        <w:pStyle w:val="FirstParagraph"/>
        <w:spacing w:before="0" w:after="0" w:line="240" w:lineRule="auto"/>
        <w:ind w:firstLine="330"/>
        <w:jc w:val="both"/>
      </w:pPr>
      <w:r>
        <w:t xml:space="preserve">with</w:t>
      </w:r>
      <w:r>
        <w:t xml:space="preserve"> </w:t>
      </w:r>
      <m:oMath>
        <m:sSub>
          <m:e>
            <m:r>
              <m:t>w</m:t>
            </m:r>
          </m:e>
          <m:sub>
            <m:r>
              <m:rPr>
                <m:nor/>
                <m:sty m:val="p"/>
              </m:rPr>
              <m:t>MOD</m:t>
            </m:r>
          </m:sub>
        </m:sSub>
        <m:r>
          <m:rPr>
            <m:sty m:val="p"/>
          </m:rPr>
          <m:t>=</m:t>
        </m:r>
        <m:r>
          <m:t>0.30</m:t>
        </m:r>
      </m:oMath>
      <w:r>
        <w:t xml:space="preserve">,</w:t>
      </w:r>
      <w:r>
        <w:t xml:space="preserve"> </w:t>
      </w:r>
      <m:oMath>
        <m:sSub>
          <m:e>
            <m:r>
              <m:t>w</m:t>
            </m:r>
          </m:e>
          <m:sub>
            <m:r>
              <m:rPr>
                <m:nor/>
                <m:sty m:val="p"/>
              </m:rPr>
              <m:t>SIL</m:t>
            </m:r>
          </m:sub>
        </m:sSub>
        <m:r>
          <m:rPr>
            <m:sty m:val="p"/>
          </m:rPr>
          <m:t>=</m:t>
        </m:r>
        <m:r>
          <m:t>0.25</m:t>
        </m:r>
      </m:oMath>
      <w:r>
        <w:t xml:space="preserve">,</w:t>
      </w:r>
      <w:r>
        <w:t xml:space="preserve"> </w:t>
      </w:r>
      <m:oMath>
        <m:sSub>
          <m:e>
            <m:r>
              <m:t>w</m:t>
            </m:r>
          </m:e>
          <m:sub>
            <m:r>
              <m:rPr>
                <m:nor/>
                <m:sty m:val="p"/>
              </m:rPr>
              <m:t>CH</m:t>
            </m:r>
          </m:sub>
        </m:sSub>
        <m:r>
          <m:rPr>
            <m:sty m:val="p"/>
          </m:rPr>
          <m:t>=</m:t>
        </m:r>
        <m:r>
          <m:t>0.20</m:t>
        </m:r>
      </m:oMath>
      <w:r>
        <w:t xml:space="preserve">,</w:t>
      </w:r>
      <w:r>
        <w:t xml:space="preserve"> </w:t>
      </w:r>
      <m:oMath>
        <m:sSub>
          <m:e>
            <m:r>
              <m:t>w</m:t>
            </m:r>
          </m:e>
          <m:sub>
            <m:r>
              <m:rPr>
                <m:nor/>
                <m:sty m:val="p"/>
              </m:rPr>
              <m:t>DB</m:t>
            </m:r>
          </m:sub>
        </m:sSub>
        <m:r>
          <m:rPr>
            <m:sty m:val="p"/>
          </m:rPr>
          <m:t>=</m:t>
        </m:r>
        <m:r>
          <m:t>0.15</m:t>
        </m:r>
      </m:oMath>
      <w:r>
        <w:t xml:space="preserve">,</w:t>
      </w:r>
      <w:r>
        <w:t xml:space="preserve"> </w:t>
      </w:r>
      <m:oMath>
        <m:sSub>
          <m:e>
            <m:r>
              <m:t>w</m:t>
            </m:r>
          </m:e>
          <m:sub>
            <m:r>
              <m:rPr>
                <m:nor/>
                <m:sty m:val="p"/>
              </m:rPr>
              <m:t>BAL</m:t>
            </m:r>
          </m:sub>
        </m:sSub>
        <m:r>
          <m:rPr>
            <m:sty m:val="p"/>
          </m:rPr>
          <m:t>=</m:t>
        </m:r>
        <m:r>
          <m:t>0.10</m:t>
        </m:r>
      </m:oMath>
      <w:r>
        <w:t xml:space="preserve">. AMR-DE commits to one representation; the second engine, by contrast, aggregates many.</w:t>
      </w:r>
    </w:p>
    <w:bookmarkStart w:id="34" w:name="fig:amrde"/>
    <w:p>
      <w:pPr>
        <w:pStyle w:val="CaptionedFigure"/>
      </w:pPr>
      <w:r>
        <w:drawing>
          <wp:inline>
            <wp:extent cx="2842895" cy="2132171"/>
            <wp:effectExtent b="0" l="0" r="0" t="0"/>
            <wp:docPr descr="" title="" id="32" name="Picture"/>
            <a:graphic>
              <a:graphicData uri="http://schemas.openxmlformats.org/drawingml/2006/picture">
                <pic:pic>
                  <pic:nvPicPr>
                    <pic:cNvPr descr="figures/amrde_overview.png" id="33" name="Picture"/>
                    <pic:cNvPicPr>
                      <a:picLocks noChangeArrowheads="1" noChangeAspect="1"/>
                    </pic:cNvPicPr>
                  </pic:nvPicPr>
                  <pic:blipFill>
                    <a:blip r:embed="rId31"/>
                    <a:stretch>
                      <a:fillRect/>
                    </a:stretch>
                  </pic:blipFill>
                  <pic:spPr bwMode="auto">
                    <a:xfrm>
                      <a:off x="0" y="0"/>
                      <a:ext cx="2842895" cy="2132171"/>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3. </w:t>
      </w:r>
      <w:r>
        <w:rPr>
          <w:rFonts w:ascii="Times New Roman" w:hAnsi="Times New Roman" w:cs="Times New Roman"/>
          <w:color w:val="000000"/>
          <w:sz w:val="20"/>
        </w:rPr>
        <w:t xml:space="preserve">Engine 1 (AMR-DE): Stage 1 selects the best representation via RepScan; Stage 2 optimizes graph hyperparameters via multi-restart DE with Nelder–Mead refinement.</w:t>
      </w:r>
    </w:p>
    <w:bookmarkEnd w:id="34"/>
    <w:bookmarkEnd w:id="35"/>
    <w:bookmarkStart w:id="40" w:name="engine-2-emr-cgc"/>
    <w:p>
      <w:pPr>
        <w:pStyle w:val="Heading2"/>
        <w:jc w:val="left"/>
      </w:pPr>
      <w:r>
        <w:rPr>
          <w:rFonts w:ascii="Times New Roman" w:hAnsi="Times New Roman" w:cs="Times New Roman"/>
          <w:b/>
          <w:color w:val="000000"/>
          <w:sz w:val="22"/>
        </w:rPr>
        <w:t>Engine 2: EMR-CGC</w:t>
      </w:r>
    </w:p>
    <w:p>
      <w:pPr>
        <w:pStyle w:val="FirstParagraph"/>
        <w:spacing w:before="0" w:after="0" w:line="240" w:lineRule="auto"/>
        <w:ind w:firstLine="330"/>
        <w:jc w:val="both"/>
      </w:pPr>
      <w:r>
        <w:t xml:space="preserve">EMR-CGC (Fig. </w:t>
      </w:r>
      <w:hyperlink w:anchor="fig:emrcgc">
        <w:r>
          <w:rPr>
            <w:rStyle w:val="Hyperlink"/>
          </w:rPr>
          <w:t xml:space="preserve">4</w:t>
        </w:r>
      </w:hyperlink>
      <w:r>
        <w:t xml:space="preserve">) produces 60 base clusterings—five representations</w:t>
      </w:r>
      <w:r>
        <w:t xml:space="preserve"> </w:t>
      </w:r>
      <m:oMath>
        <m:r>
          <m:rPr>
            <m:sty m:val="p"/>
          </m:rPr>
          <m:t>×</m:t>
        </m:r>
      </m:oMath>
      <w:r>
        <w:t xml:space="preserve"> </w:t>
      </w:r>
      <m:oMath>
        <m:r>
          <m:rPr>
            <m:sty m:val="p"/>
          </m:rPr>
          <m:t>|</m:t>
        </m:r>
        <m:r>
          <m:t>K</m:t>
        </m:r>
        <m:r>
          <m:rPr>
            <m:sty m:val="p"/>
          </m:rPr>
          <m:t>|</m:t>
        </m:r>
        <m:r>
          <m:rPr>
            <m:sty m:val="p"/>
          </m:rPr>
          <m:t>=</m:t>
        </m:r>
        <m:r>
          <m:t>4</m:t>
        </m:r>
      </m:oMath>
      <w:r>
        <w:t xml:space="preserve"> </w:t>
      </w:r>
      <w:r>
        <w:t xml:space="preserve">values of</w:t>
      </w:r>
      <w:r>
        <w:t xml:space="preserve"> </w:t>
      </w:r>
      <m:oMath>
        <m:r>
          <m:t>k</m:t>
        </m:r>
      </m:oMath>
      <w:r>
        <w:t xml:space="preserve"> </w:t>
      </w:r>
      <m:oMath>
        <m:r>
          <m:rPr>
            <m:sty m:val="p"/>
          </m:rPr>
          <m:t>×</m:t>
        </m:r>
      </m:oMath>
      <w:r>
        <w:t xml:space="preserve"> </w:t>
      </w:r>
      <m:oMath>
        <m:r>
          <m:rPr>
            <m:sty m:val="p"/>
          </m:rPr>
          <m:t>|</m:t>
        </m:r>
        <m:r>
          <m:t>R</m:t>
        </m:r>
        <m:r>
          <m:rPr>
            <m:sty m:val="p"/>
          </m:rPr>
          <m:t>|</m:t>
        </m:r>
        <m:r>
          <m:rPr>
            <m:sty m:val="p"/>
          </m:rPr>
          <m:t>=</m:t>
        </m:r>
        <m:r>
          <m:t>3</m:t>
        </m:r>
      </m:oMath>
      <w:r>
        <w:t xml:space="preserve"> </w:t>
      </w:r>
      <w:r>
        <w:t xml:space="preserve">resolutions—using Shared Nearest Neighbor (SNN) graphs and Leiden community detection. The SNN edge weight</w:t>
      </w:r>
    </w:p>
    <w:p>
      <w:pPr>
        <w:pStyle w:val="BodyText"/>
        <w:spacing w:before="0" w:after="0" w:line="240" w:lineRule="auto"/>
        <w:ind w:firstLine="330"/>
        <w:jc w:val="both"/>
      </w:pPr>
      <m:oMathPara>
        <m:oMathParaPr>
          <m:jc m:val="center"/>
        </m:oMathParaPr>
        <m:oMath>
          <m:sSubSup>
            <m:e>
              <m:r>
                <m:t>w</m:t>
              </m:r>
            </m:e>
            <m:sub>
              <m:r>
                <m:t>i</m:t>
              </m:r>
              <m:r>
                <m:t>j</m:t>
              </m:r>
            </m:sub>
            <m:sup>
              <m:r>
                <m:rPr>
                  <m:nor/>
                  <m:sty m:val="p"/>
                </m:rPr>
                <m:t>SNN</m:t>
              </m:r>
            </m:sup>
          </m:sSubSup>
          <m:r>
            <m:rPr>
              <m:sty m:val="p"/>
            </m:rPr>
            <m:t>=</m:t>
          </m:r>
          <m:f>
            <m:fPr>
              <m:type m:val="bar"/>
            </m:fPr>
            <m:num>
              <m:r>
                <m:rPr>
                  <m:sty m:val="p"/>
                </m:rPr>
                <m:t>|</m:t>
              </m:r>
              <m:sSub>
                <m:e>
                  <m:r>
                    <m:t>N</m:t>
                  </m:r>
                </m:e>
                <m:sub>
                  <m:r>
                    <m:t>k</m:t>
                  </m:r>
                </m:sub>
              </m:sSub>
              <m:r>
                <m:rPr>
                  <m:sty m:val="p"/>
                </m:rPr>
                <m:t>(</m:t>
              </m:r>
              <m:r>
                <m:t>i</m:t>
              </m:r>
              <m:r>
                <m:rPr>
                  <m:sty m:val="p"/>
                </m:rPr>
                <m:t>)</m:t>
              </m:r>
              <m:r>
                <m:rPr>
                  <m:sty m:val="p"/>
                </m:rPr>
                <m:t>∩</m:t>
              </m:r>
              <m:sSub>
                <m:e>
                  <m:r>
                    <m:t>N</m:t>
                  </m:r>
                </m:e>
                <m:sub>
                  <m:r>
                    <m:t>k</m:t>
                  </m:r>
                </m:sub>
              </m:sSub>
              <m:r>
                <m:rPr>
                  <m:sty m:val="p"/>
                </m:rPr>
                <m:t>(</m:t>
              </m:r>
              <m:r>
                <m:t>j</m:t>
              </m:r>
              <m:r>
                <m:rPr>
                  <m:sty m:val="p"/>
                </m:rPr>
                <m:t>)</m:t>
              </m:r>
              <m:r>
                <m:rPr>
                  <m:sty m:val="p"/>
                </m:rPr>
                <m:t>|</m:t>
              </m:r>
            </m:num>
            <m:den>
              <m:r>
                <m:t>k</m:t>
              </m:r>
            </m:den>
          </m:f>
        </m:oMath>
      </m:oMathPara>
    </w:p>
    <w:p>
      <w:pPr>
        <w:pStyle w:val="FirstParagraph"/>
        <w:spacing w:before="0" w:after="0" w:line="240" w:lineRule="auto"/>
        <w:ind w:firstLine="330"/>
        <w:jc w:val="both"/>
      </w:pPr>
      <w:r>
        <w:t xml:space="preserve">captures structural similarity through shared neighbors and is less affected by noise and varying density than raw distance. The best base clustering is chosen by</w:t>
      </w:r>
    </w:p>
    <w:p>
      <w:pPr>
        <w:pStyle w:val="BodyText"/>
        <w:spacing w:before="0" w:after="0" w:line="240" w:lineRule="auto"/>
        <w:ind w:firstLine="330"/>
        <w:jc w:val="both"/>
      </w:pPr>
      <m:oMathPara>
        <m:oMathParaPr>
          <m:jc m:val="center"/>
        </m:oMathParaPr>
        <m:oMath>
          <m:r>
            <m:t>s</m:t>
          </m:r>
          <m:r>
            <m:rPr>
              <m:sty m:val="p"/>
            </m:rPr>
            <m:t>=</m:t>
          </m:r>
          <m:r>
            <m:t>0.35</m:t>
          </m:r>
          <m:r>
            <m:t> </m:t>
          </m:r>
          <m:sSub>
            <m:e>
              <m:r>
                <m:rPr>
                  <m:nor/>
                  <m:sty m:val="p"/>
                </m:rPr>
                <m:t>MOD</m:t>
              </m:r>
            </m:e>
            <m:sub>
              <m:r>
                <m:t>01</m:t>
              </m:r>
            </m:sub>
          </m:sSub>
          <m:r>
            <m:rPr>
              <m:sty m:val="p"/>
            </m:rPr>
            <m:t>+</m:t>
          </m:r>
          <m:r>
            <m:t>0.40</m:t>
          </m:r>
          <m:r>
            <m:t> </m:t>
          </m:r>
          <m:sSub>
            <m:e>
              <m:r>
                <m:rPr>
                  <m:nor/>
                  <m:sty m:val="p"/>
                </m:rPr>
                <m:t>SIL</m:t>
              </m:r>
            </m:e>
            <m:sub>
              <m:r>
                <m:t>01</m:t>
              </m:r>
            </m:sub>
          </m:sSub>
          <m:r>
            <m:rPr>
              <m:sty m:val="p"/>
            </m:rPr>
            <m:t>+</m:t>
          </m:r>
          <m:r>
            <m:t>0.25</m:t>
          </m:r>
          <m:r>
            <m:t> </m:t>
          </m:r>
          <m:sSub>
            <m:e>
              <m:r>
                <m:rPr>
                  <m:nor/>
                  <m:sty m:val="p"/>
                </m:rPr>
                <m:t>BAL</m:t>
              </m:r>
            </m:e>
            <m:sub>
              <m:r>
                <m:t>01</m:t>
              </m:r>
            </m:sub>
          </m:sSub>
          <m:r>
            <m:rPr>
              <m:sty m:val="p"/>
            </m:rPr>
            <m:t>.</m:t>
          </m:r>
        </m:oMath>
      </m:oMathPara>
    </w:p>
    <w:p>
      <w:pPr>
        <w:pStyle w:val="FirstParagraph"/>
        <w:spacing w:before="0" w:after="0" w:line="240" w:lineRule="auto"/>
        <w:ind w:firstLine="330"/>
        <w:jc w:val="both"/>
      </w:pPr>
      <w:r>
        <w:t xml:space="preserve">With two independent candidates in hand, arbitration becomes the next question.</w:t>
      </w:r>
    </w:p>
    <w:bookmarkStart w:id="39" w:name="fig:emrcgc"/>
    <w:p>
      <w:pPr>
        <w:pStyle w:val="CaptionedFigure"/>
      </w:pPr>
      <w:r>
        <w:drawing>
          <wp:inline>
            <wp:extent cx="2842895" cy="1895263"/>
            <wp:effectExtent b="0" l="0" r="0" t="0"/>
            <wp:docPr descr="" title="" id="37" name="Picture"/>
            <a:graphic>
              <a:graphicData uri="http://schemas.openxmlformats.org/drawingml/2006/picture">
                <pic:pic>
                  <pic:nvPicPr>
                    <pic:cNvPr descr="figures/emrcgc_overview.png" id="38" name="Picture"/>
                    <pic:cNvPicPr>
                      <a:picLocks noChangeArrowheads="1" noChangeAspect="1"/>
                    </pic:cNvPicPr>
                  </pic:nvPicPr>
                  <pic:blipFill>
                    <a:blip r:embed="rId36"/>
                    <a:stretch>
                      <a:fillRect/>
                    </a:stretch>
                  </pic:blipFill>
                  <pic:spPr bwMode="auto">
                    <a:xfrm>
                      <a:off x="0" y="0"/>
                      <a:ext cx="2842895" cy="1895263"/>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4. </w:t>
      </w:r>
      <w:r>
        <w:rPr>
          <w:rFonts w:ascii="Times New Roman" w:hAnsi="Times New Roman" w:cs="Times New Roman"/>
          <w:color w:val="000000"/>
          <w:sz w:val="20"/>
        </w:rPr>
        <w:t xml:space="preserve">Engine 2 (EMR-CGC): Ensemble of 60 base clusterings from 5 representations</w:t>
      </w:r>
      <w:r>
        <w:rPr>
          <w:rFonts w:ascii="Times New Roman" w:hAnsi="Times New Roman" w:cs="Times New Roman"/>
          <w:color w:val="000000"/>
          <w:sz w:val="20"/>
        </w:rPr>
        <w:t xml:space="preserve"> </w:t>
      </w:r>
      <m:oMath>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12 graph configurations, using SNN graphs with Leiden community detection. Best run is selected by quality score.</w:t>
      </w:r>
    </w:p>
    <w:bookmarkEnd w:id="39"/>
    <w:bookmarkEnd w:id="40"/>
    <w:bookmarkStart w:id="45" w:name="qualitygate"/>
    <w:p>
      <w:pPr>
        <w:pStyle w:val="Heading2"/>
        <w:jc w:val="left"/>
      </w:pPr>
      <w:r>
        <w:rPr>
          <w:rFonts w:ascii="Times New Roman" w:hAnsi="Times New Roman" w:cs="Times New Roman"/>
          <w:b/>
          <w:color w:val="000000"/>
          <w:sz w:val="22"/>
        </w:rPr>
        <w:t>QualityGate</w:t>
      </w:r>
    </w:p>
    <w:p>
      <w:pPr>
        <w:pStyle w:val="FirstParagraph"/>
        <w:spacing w:before="0" w:after="0" w:line="240" w:lineRule="auto"/>
        <w:ind w:firstLine="330"/>
        <w:jc w:val="both"/>
      </w:pPr>
      <w:r>
        <w:rPr>
          <w:color w:val="C00000"/>
        </w:rPr>
        <w:t xml:space="preserve">The QualityGate (Fig. </w:t>
      </w:r>
      <w:hyperlink w:anchor="fig:qg">
        <w:r>
          <w:rPr>
            <w:rStyle w:val="Hyperlink"/>
          </w:rPr>
          <w:t xml:space="preserve">5</w:t>
        </w:r>
      </w:hyperlink>
      <w:r>
        <w:rPr>
          <w:color w:val="C00000"/>
        </w:rPr>
        <w:t xml:space="preserve">) is a three-layer adaptive filter that selects</w:t>
      </w:r>
      <w:r>
        <w:rPr>
          <w:color w:val="C00000"/>
        </w:rPr>
        <w:t xml:space="preserve"> </w:t>
      </w:r>
      <m:oMath>
        <m:r>
          <m:rPr>
            <m:sty m:val="p"/>
          </m:rPr>
          <m:t>max</m:t>
        </m:r>
        <m:r>
          <m:rPr>
            <m:sty m:val="p"/>
          </m:rPr>
          <m:t>(</m:t>
        </m:r>
        <m:sSub>
          <m:e>
            <m:acc>
              <m:accPr>
                <m:chr m:val="̂"/>
              </m:accPr>
              <m:e>
                <m:r>
                  <m:rPr>
                    <m:sty m:val="bi"/>
                  </m:rPr>
                  <m:t>y</m:t>
                </m:r>
              </m:e>
            </m:acc>
          </m:e>
          <m:sub>
            <m:r>
              <m:t>B</m:t>
            </m:r>
          </m:sub>
        </m:sSub>
        <m:r>
          <m:rPr>
            <m:sty m:val="p"/>
          </m:rPr>
          <m:t>,</m:t>
        </m:r>
        <m:sSub>
          <m:e>
            <m:acc>
              <m:accPr>
                <m:chr m:val="̂"/>
              </m:accPr>
              <m:e>
                <m:r>
                  <m:rPr>
                    <m:sty m:val="bi"/>
                  </m:rPr>
                  <m:t>y</m:t>
                </m:r>
              </m:e>
            </m:acc>
          </m:e>
          <m:sub>
            <m:r>
              <m:t>D</m:t>
            </m:r>
            <m:r>
              <m:t>E</m:t>
            </m:r>
          </m:sub>
        </m:sSub>
        <m:r>
          <m:rPr>
            <m:sty m:val="p"/>
          </m:rPr>
          <m:t>,</m:t>
        </m:r>
        <m:sSub>
          <m:e>
            <m:acc>
              <m:accPr>
                <m:chr m:val="̂"/>
              </m:accPr>
              <m:e>
                <m:r>
                  <m:rPr>
                    <m:sty m:val="bi"/>
                  </m:rPr>
                  <m:t>y</m:t>
                </m:r>
              </m:e>
            </m:acc>
          </m:e>
          <m:sub>
            <m:r>
              <m:t>E</m:t>
            </m:r>
            <m:r>
              <m:t>M</m:t>
            </m:r>
            <m:r>
              <m:t>R</m:t>
            </m:r>
          </m:sub>
        </m:sSub>
        <m:r>
          <m:rPr>
            <m:sty m:val="p"/>
          </m:rPr>
          <m:t>)</m:t>
        </m:r>
      </m:oMath>
      <w:r>
        <w:rPr>
          <w:color w:val="C00000"/>
        </w:rPr>
        <w:t xml:space="preserve"> </w:t>
      </w:r>
      <w:r>
        <w:rPr>
          <w:color w:val="C00000"/>
        </w:rPr>
        <w:t xml:space="preserve">using internal quality scores. In Fig. </w:t>
      </w:r>
      <w:hyperlink w:anchor="fig:qg">
        <w:r>
          <w:rPr>
            <w:rStyle w:val="Hyperlink"/>
          </w:rPr>
          <w:t xml:space="preserve">5</w:t>
        </w:r>
      </w:hyperlink>
      <w:r>
        <w:rPr>
          <w:color w:val="C00000"/>
        </w:rPr>
        <w:t xml:space="preserve">,</w:t>
      </w:r>
      <w:r>
        <w:rPr>
          <w:color w:val="C00000"/>
        </w:rPr>
        <w:t xml:space="preserve"> </w:t>
      </w:r>
      <m:oMath>
        <m:r>
          <m:t>B</m:t>
        </m:r>
      </m:oMath>
      <w:r>
        <w:rPr>
          <w:color w:val="C00000"/>
        </w:rPr>
        <w:t xml:space="preserve"> </w:t>
      </w:r>
      <w:r>
        <w:rPr>
          <w:color w:val="C00000"/>
        </w:rPr>
        <w:t xml:space="preserve">denotes the baseline partition</w:t>
      </w:r>
      <w:r>
        <w:rPr>
          <w:color w:val="C00000"/>
        </w:rPr>
        <w:t xml:space="preserve"> </w:t>
      </w:r>
      <m:oMath>
        <m:sSub>
          <m:e>
            <m:acc>
              <m:accPr>
                <m:chr m:val="̂"/>
              </m:accPr>
              <m:e>
                <m:r>
                  <m:rPr>
                    <m:sty m:val="bi"/>
                  </m:rPr>
                  <m:t>y</m:t>
                </m:r>
              </m:e>
            </m:acc>
          </m:e>
          <m:sub>
            <m:r>
              <m:t>B</m:t>
            </m:r>
          </m:sub>
        </m:sSub>
      </m:oMath>
      <w:r>
        <w:rPr>
          <w:color w:val="C00000"/>
        </w:rPr>
        <w:t xml:space="preserve"> </w:t>
      </w:r>
      <w:r>
        <w:rPr>
          <w:color w:val="C00000"/>
        </w:rPr>
        <w:t xml:space="preserve">and</w:t>
      </w:r>
      <w:r>
        <w:rPr>
          <w:color w:val="C00000"/>
        </w:rPr>
        <w:t xml:space="preserve"> </w:t>
      </w:r>
      <m:oMath>
        <m:r>
          <m:t>H</m:t>
        </m:r>
      </m:oMath>
      <w:r>
        <w:rPr>
          <w:color w:val="C00000"/>
        </w:rPr>
        <w:t xml:space="preserve"> </w:t>
      </w:r>
      <w:r>
        <w:rPr>
          <w:color w:val="C00000"/>
        </w:rPr>
        <w:t xml:space="preserve">(the challenger, labelled</w:t>
      </w:r>
      <w:r>
        <w:rPr>
          <w:color w:val="C00000"/>
        </w:rPr>
        <w:t xml:space="preserve"> </w:t>
      </w:r>
      <w:r>
        <w:rPr>
          <w:color w:val="C00000"/>
        </w:rPr>
        <w:t xml:space="preserve">“hybrid”</w:t>
      </w:r>
      <w:r>
        <w:rPr>
          <w:color w:val="C00000"/>
        </w:rPr>
        <w:t xml:space="preserve"> </w:t>
      </w:r>
      <w:r>
        <w:rPr>
          <w:color w:val="C00000"/>
        </w:rPr>
        <w:t xml:space="preserve">there) is whichever engine output</w:t>
      </w:r>
      <w:r>
        <w:rPr>
          <w:color w:val="C00000"/>
        </w:rPr>
        <w:t xml:space="preserve"> </w:t>
      </w:r>
      <m:oMath>
        <m:sSub>
          <m:e>
            <m:acc>
              <m:accPr>
                <m:chr m:val="̂"/>
              </m:accPr>
              <m:e>
                <m:r>
                  <m:rPr>
                    <m:sty m:val="bi"/>
                  </m:rPr>
                  <m:t>y</m:t>
                </m:r>
              </m:e>
            </m:acc>
          </m:e>
          <m:sub>
            <m:r>
              <m:t>D</m:t>
            </m:r>
            <m:r>
              <m:t>E</m:t>
            </m:r>
          </m:sub>
        </m:sSub>
      </m:oMath>
      <w:r>
        <w:rPr>
          <w:color w:val="C00000"/>
        </w:rPr>
        <w:t xml:space="preserve"> </w:t>
      </w:r>
      <w:r>
        <w:rPr>
          <w:color w:val="C00000"/>
        </w:rPr>
        <w:t xml:space="preserve">or</w:t>
      </w:r>
      <w:r>
        <w:rPr>
          <w:color w:val="C00000"/>
        </w:rPr>
        <w:t xml:space="preserve"> </w:t>
      </w:r>
      <m:oMath>
        <m:sSub>
          <m:e>
            <m:acc>
              <m:accPr>
                <m:chr m:val="̂"/>
              </m:accPr>
              <m:e>
                <m:r>
                  <m:rPr>
                    <m:sty m:val="bi"/>
                  </m:rPr>
                  <m:t>y</m:t>
                </m:r>
              </m:e>
            </m:acc>
          </m:e>
          <m:sub>
            <m:r>
              <m:t>E</m:t>
            </m:r>
            <m:r>
              <m:t>M</m:t>
            </m:r>
            <m:r>
              <m:t>R</m:t>
            </m:r>
          </m:sub>
        </m:sSub>
      </m:oMath>
      <w:r>
        <w:rPr>
          <w:color w:val="C00000"/>
        </w:rPr>
        <w:t xml:space="preserve"> </w:t>
      </w:r>
      <w:r>
        <w:rPr>
          <w:color w:val="C00000"/>
        </w:rPr>
        <w:t xml:space="preserve">scores higher internally; the gate accepts</w:t>
      </w:r>
      <w:r>
        <w:rPr>
          <w:color w:val="C00000"/>
        </w:rPr>
        <w:t xml:space="preserve"> </w:t>
      </w:r>
      <m:oMath>
        <m:r>
          <m:t>H</m:t>
        </m:r>
      </m:oMath>
      <w:r>
        <w:rPr>
          <w:color w:val="C00000"/>
        </w:rPr>
        <w:t xml:space="preserve"> </w:t>
      </w:r>
      <w:r>
        <w:rPr>
          <w:color w:val="C00000"/>
        </w:rPr>
        <w:t xml:space="preserve">only when it clears all three layers and otherwise falls back to</w:t>
      </w:r>
      <w:r>
        <w:rPr>
          <w:color w:val="C00000"/>
        </w:rPr>
        <w:t xml:space="preserve"> </w:t>
      </w:r>
      <m:oMath>
        <m:r>
          <m:t>B</m:t>
        </m:r>
      </m:oMath>
      <w:r>
        <w:rPr>
          <w:color w:val="C00000"/>
        </w:rPr>
        <w:t xml:space="preserve">. Its C-ratio threshold</w:t>
      </w:r>
      <w:r>
        <w:rPr>
          <w:color w:val="C00000"/>
        </w:rPr>
        <w:t xml:space="preserve"> </w:t>
      </w:r>
      <m:oMath>
        <m:r>
          <m:t>ρ</m:t>
        </m:r>
        <m:r>
          <m:rPr>
            <m:sty m:val="p"/>
          </m:rPr>
          <m:t>=</m:t>
        </m:r>
        <m:r>
          <m:rPr>
            <m:sty m:val="p"/>
          </m:rPr>
          <m:t>max</m:t>
        </m:r>
        <m:r>
          <m:rPr>
            <m:sty m:val="p"/>
          </m:rPr>
          <m:t>(</m:t>
        </m:r>
        <m:r>
          <m:t>4</m:t>
        </m:r>
        <m:r>
          <m:rPr>
            <m:sty m:val="p"/>
          </m:rPr>
          <m:t>,</m:t>
        </m:r>
        <m:rad>
          <m:radPr>
            <m:degHide m:val="on"/>
          </m:radPr>
          <m:deg/>
          <m:e>
            <m:r>
              <m:t>n</m:t>
            </m:r>
            <m:r>
              <m:rPr>
                <m:sty m:val="p"/>
              </m:rPr>
              <m:t>/</m:t>
            </m:r>
            <m:r>
              <m:t>50</m:t>
            </m:r>
          </m:e>
        </m:rad>
        <m:r>
          <m:rPr>
            <m:sty m:val="p"/>
          </m:rPr>
          <m:t>)</m:t>
        </m:r>
      </m:oMath>
      <w:r>
        <w:rPr>
          <w:color w:val="C00000"/>
        </w:rPr>
        <w:t xml:space="preserve"> </w:t>
      </w:r>
      <w:r>
        <w:rPr>
          <w:color w:val="C00000"/>
        </w:rPr>
        <w:t xml:space="preserve">is dataset-adaptive: larger datasets are permitted proportionally more clusters, while small ones are protected from over-fragmentation. Algorithms </w:t>
      </w:r>
      <w:hyperlink w:anchor="alg:deac">
        <w:r>
          <w:rPr>
            <w:rStyle w:val="Hyperlink"/>
          </w:rPr>
          <w:t xml:space="preserve">[alg:deac]</w:t>
        </w:r>
      </w:hyperlink>
      <w:r>
        <w:rPr>
          <w:color w:val="C00000"/>
        </w:rPr>
        <w:t xml:space="preserve">–</w:t>
      </w:r>
      <w:hyperlink w:anchor="alg:emrcgc">
        <w:r>
          <w:rPr>
            <w:rStyle w:val="Hyperlink"/>
          </w:rPr>
          <w:t xml:space="preserve">[alg:emrcgc]</w:t>
        </w:r>
      </w:hyperlink>
      <w:r>
        <w:rPr>
          <w:color w:val="C00000"/>
        </w:rPr>
        <w:t xml:space="preserve"> </w:t>
      </w:r>
      <w:r>
        <w:rPr>
          <w:color w:val="C00000"/>
        </w:rPr>
        <w:t xml:space="preserve">give the full procedure.</w:t>
      </w:r>
    </w:p>
    <w:bookmarkStart w:id="44" w:name="fig:qg"/>
    <w:p>
      <w:pPr>
        <w:pStyle w:val="CaptionedFigure"/>
      </w:pPr>
      <w:r>
        <w:drawing>
          <wp:inline>
            <wp:extent cx="2842895" cy="3320795"/>
            <wp:effectExtent b="0" l="0" r="0" t="0"/>
            <wp:docPr descr="" title="" id="42" name="Picture"/>
            <a:graphic>
              <a:graphicData uri="http://schemas.openxmlformats.org/drawingml/2006/picture">
                <pic:pic>
                  <pic:nvPicPr>
                    <pic:cNvPr descr="figures/qg_overview.png" id="43" name="Picture"/>
                    <pic:cNvPicPr>
                      <a:picLocks noChangeArrowheads="1" noChangeAspect="1"/>
                    </pic:cNvPicPr>
                  </pic:nvPicPr>
                  <pic:blipFill>
                    <a:blip r:embed="rId41"/>
                    <a:stretch>
                      <a:fillRect/>
                    </a:stretch>
                  </pic:blipFill>
                  <pic:spPr bwMode="auto">
                    <a:xfrm>
                      <a:off x="0" y="0"/>
                      <a:ext cx="2842895" cy="3320795"/>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5. </w:t>
      </w:r>
      <w:r>
        <w:rPr>
          <w:rFonts w:ascii="Times New Roman" w:hAnsi="Times New Roman" w:cs="Times New Roman"/>
          <w:color w:val="000000"/>
          <w:sz w:val="20"/>
        </w:rPr>
        <w:t xml:space="preserve">QualityGate: three-layer adaptive protection. Layer 1 catches extreme over-fragmentation; Layer 2 catches moderate fragmentation with weak improvement; Layer 3 catches internal quality regression.</w:t>
      </w:r>
    </w:p>
    <w:bookmarkEnd w:id="44"/>
    <w:bookmarkEnd w:id="45"/>
    <w:bookmarkStart w:id="48" w:name="sec:rationale"/>
    <w:p>
      <w:pPr>
        <w:pStyle w:val="Heading2"/>
        <w:jc w:val="left"/>
      </w:pPr>
      <w:r>
        <w:rPr>
          <w:rFonts w:ascii="Times New Roman" w:hAnsi="Times New Roman" w:cs="Times New Roman"/>
          <w:b/>
          <w:color w:val="000000"/>
          <w:sz w:val="22"/>
        </w:rPr>
        <w:t>Design Rationale</w:t>
      </w:r>
    </w:p>
    <w:p>
      <w:pPr>
        <w:pStyle w:val="FirstParagraph"/>
        <w:spacing w:before="0" w:after="0" w:line="240" w:lineRule="auto"/>
        <w:ind w:firstLine="330"/>
        <w:jc w:val="both"/>
      </w:pPr>
      <w:r>
        <w:t xml:space="preserve">Two design choices warrant justification: the form of the threshold</w:t>
      </w:r>
      <w:r>
        <w:t xml:space="preserve"> </w:t>
      </w:r>
      <m:oMath>
        <m:r>
          <m:t>ρ</m:t>
        </m:r>
      </m:oMath>
      <w:r>
        <w:t xml:space="preserve"> </w:t>
      </w:r>
      <w:r>
        <w:t xml:space="preserve">and the use of SNN rather than KNN edges.</w:t>
      </w:r>
    </w:p>
    <w:p>
      <w:pPr>
        <w:pStyle w:val="BodyText"/>
        <w:spacing w:before="0" w:after="0" w:line="240" w:lineRule="auto"/>
        <w:ind w:firstLine="330"/>
        <w:jc w:val="both"/>
      </w:pPr>
      <w:r>
        <w:rPr>
          <w:b/>
          <w:bCs/>
        </w:rPr>
        <w:t xml:space="preserve">Why</w:t>
      </w:r>
      <w:r>
        <w:rPr>
          <w:b/>
          <w:bCs/>
        </w:rPr>
        <w:t xml:space="preserve"> </w:t>
      </w:r>
      <m:oMath>
        <m:r>
          <m:t>ρ</m:t>
        </m:r>
        <m:r>
          <m:rPr>
            <m:sty m:val="p"/>
          </m:rPr>
          <m:t>=</m:t>
        </m:r>
        <m:r>
          <m:rPr>
            <m:sty m:val="p"/>
          </m:rPr>
          <m:t>max</m:t>
        </m:r>
        <m:r>
          <m:rPr>
            <m:sty m:val="p"/>
          </m:rPr>
          <m:t>(</m:t>
        </m:r>
        <m:r>
          <m:t>4</m:t>
        </m:r>
        <m:r>
          <m:rPr>
            <m:sty m:val="p"/>
          </m:rPr>
          <m:t>,</m:t>
        </m:r>
        <m:rad>
          <m:radPr>
            <m:degHide m:val="on"/>
          </m:radPr>
          <m:deg/>
          <m:e>
            <m:r>
              <m:t>n</m:t>
            </m:r>
            <m:r>
              <m:rPr>
                <m:sty m:val="p"/>
              </m:rPr>
              <m:t>/</m:t>
            </m:r>
            <m:r>
              <m:t>50</m:t>
            </m:r>
          </m:e>
        </m:rad>
        <m:r>
          <m:rPr>
            <m:sty m:val="p"/>
          </m:rPr>
          <m:t>)</m:t>
        </m:r>
      </m:oMath>
      <w:r>
        <w:rPr>
          <w:b/>
          <w:bCs/>
        </w:rPr>
        <w:t xml:space="preserve">.</w:t>
      </w:r>
      <w:r>
        <w:t xml:space="preserve"> </w:t>
      </w:r>
      <w:r>
        <w:t xml:space="preserve">Layer 1 must reject a partition only when its cluster count is implausibly large relative to the baseline. The number of clusters that can be</w:t>
      </w:r>
      <w:r>
        <w:t xml:space="preserve"> </w:t>
      </w:r>
      <w:r>
        <w:rPr>
          <w:i/>
          <w:iCs/>
        </w:rPr>
        <w:t xml:space="preserve">statistically resolved</w:t>
      </w:r>
      <w:r>
        <w:t xml:space="preserve"> </w:t>
      </w:r>
      <w:r>
        <w:t xml:space="preserve">in a sample grows sublinearly with</w:t>
      </w:r>
      <w:r>
        <w:t xml:space="preserve"> </w:t>
      </w:r>
      <m:oMath>
        <m:r>
          <m:t>n</m:t>
        </m:r>
      </m:oMath>
      <w:r>
        <w:t xml:space="preserve">: a classical rule of thumb places the maximum at</w:t>
      </w:r>
      <w:r>
        <w:t xml:space="preserve"> </w:t>
      </w:r>
      <m:oMath>
        <m:sSub>
          <m:e>
            <m:r>
              <m:t>k</m:t>
            </m:r>
          </m:e>
          <m:sub>
            <m:r>
              <m:rPr>
                <m:sty m:val="p"/>
              </m:rPr>
              <m:t>max</m:t>
            </m:r>
          </m:sub>
        </m:sSub>
        <m:r>
          <m:rPr>
            <m:sty m:val="p"/>
          </m:rPr>
          <m:t>≈</m:t>
        </m:r>
        <m:rad>
          <m:radPr>
            <m:degHide m:val="on"/>
          </m:radPr>
          <m:deg/>
          <m:e>
            <m:r>
              <m:t>n</m:t>
            </m:r>
            <m:r>
              <m:rPr>
                <m:sty m:val="p"/>
              </m:rPr>
              <m:t>/</m:t>
            </m:r>
            <m:r>
              <m:t>2</m:t>
            </m:r>
          </m:e>
        </m:rad>
      </m:oMath>
      <w:r>
        <w:t xml:space="preserve"> [31]. We therefore let the tolerated cluster-count ratio grow as</w:t>
      </w:r>
      <w:r>
        <w:t xml:space="preserve"> </w:t>
      </w:r>
      <m:oMath>
        <m:rad>
          <m:radPr>
            <m:degHide m:val="on"/>
          </m:radPr>
          <m:deg/>
          <m:e>
            <m:r>
              <m:t>n</m:t>
            </m:r>
          </m:e>
        </m:rad>
      </m:oMath>
      <w:r>
        <w:t xml:space="preserve"> </w:t>
      </w:r>
      <w:r>
        <w:t xml:space="preserve">as well, so the gate’s permissiveness tracks the rate at which genuine structure can appear. Writing the threshold as</w:t>
      </w:r>
      <w:r>
        <w:t xml:space="preserve"> </w:t>
      </w:r>
      <m:oMath>
        <m:r>
          <m:t>ρ</m:t>
        </m:r>
        <m:r>
          <m:rPr>
            <m:sty m:val="p"/>
          </m:rPr>
          <m:t>=</m:t>
        </m:r>
        <m:rad>
          <m:radPr>
            <m:degHide m:val="on"/>
          </m:radPr>
          <m:deg/>
          <m:e>
            <m:r>
              <m:t>n</m:t>
            </m:r>
            <m:r>
              <m:rPr>
                <m:sty m:val="p"/>
              </m:rPr>
              <m:t>/</m:t>
            </m:r>
            <m:r>
              <m:t>c</m:t>
            </m:r>
          </m:e>
        </m:rad>
      </m:oMath>
      <w:r>
        <w:t xml:space="preserve">, the constant</w:t>
      </w:r>
      <w:r>
        <w:t xml:space="preserve"> </w:t>
      </w:r>
      <m:oMath>
        <m:r>
          <m:t>c</m:t>
        </m:r>
        <m:r>
          <m:rPr>
            <m:sty m:val="p"/>
          </m:rPr>
          <m:t>=</m:t>
        </m:r>
        <m:r>
          <m:t>50</m:t>
        </m:r>
      </m:oMath>
      <w:r>
        <w:t xml:space="preserve"> </w:t>
      </w:r>
      <w:r>
        <w:t xml:space="preserve">fixes the crossover with the floor at</w:t>
      </w:r>
      <w:r>
        <w:t xml:space="preserve"> </w:t>
      </w:r>
      <m:oMath>
        <m:r>
          <m:t>n</m:t>
        </m:r>
        <m:r>
          <m:rPr>
            <m:sty m:val="p"/>
          </m:rPr>
          <m:t>=</m:t>
        </m:r>
        <m:r>
          <m:t>50</m:t>
        </m:r>
        <m:r>
          <m:rPr>
            <m:sty m:val="p"/>
          </m:rPr>
          <m:t>⋅</m:t>
        </m:r>
        <m:sSup>
          <m:e>
            <m:r>
              <m:t>4</m:t>
            </m:r>
          </m:e>
          <m:sup>
            <m:r>
              <m:t>2</m:t>
            </m:r>
          </m:sup>
        </m:sSup>
        <m:r>
          <m:rPr>
            <m:sty m:val="p"/>
          </m:rPr>
          <m:t>=</m:t>
        </m:r>
        <m:r>
          <m:t>800</m:t>
        </m:r>
      </m:oMath>
      <w:r>
        <w:t xml:space="preserve">: below</w:t>
      </w:r>
      <w:r>
        <w:t xml:space="preserve"> </w:t>
      </w:r>
      <m:oMath>
        <m:r>
          <m:rPr>
            <m:sty m:val="p"/>
          </m:rPr>
          <m:t>∼</m:t>
        </m:r>
        <m:r>
          <m:t>800</m:t>
        </m:r>
      </m:oMath>
      <w:r>
        <w:t xml:space="preserve"> </w:t>
      </w:r>
      <w:r>
        <w:t xml:space="preserve">samples the constant floor</w:t>
      </w:r>
      <w:r>
        <w:t xml:space="preserve"> </w:t>
      </w:r>
      <m:oMath>
        <m:r>
          <m:t>ρ</m:t>
        </m:r>
        <m:r>
          <m:rPr>
            <m:sty m:val="p"/>
          </m:rPr>
          <m:t>=</m:t>
        </m:r>
        <m:r>
          <m:t>4</m:t>
        </m:r>
      </m:oMath>
      <w:r>
        <w:t xml:space="preserve"> </w:t>
      </w:r>
      <w:r>
        <w:t xml:space="preserve">governs, above it the</w:t>
      </w:r>
      <w:r>
        <w:t xml:space="preserve"> </w:t>
      </w:r>
      <m:oMath>
        <m:rad>
          <m:radPr>
            <m:degHide m:val="on"/>
          </m:radPr>
          <m:deg/>
          <m:e>
            <m:r>
              <m:t>n</m:t>
            </m:r>
          </m:e>
        </m:rad>
      </m:oMath>
      <w:r>
        <w:t xml:space="preserve"> </w:t>
      </w:r>
      <w:r>
        <w:t xml:space="preserve">term does (Table </w:t>
      </w:r>
      <w:hyperlink w:anchor="tab:rho">
        <w:r>
          <w:rPr>
            <w:rStyle w:val="Hyperlink"/>
          </w:rPr>
          <w:t xml:space="preserve">2</w:t>
        </w:r>
      </w:hyperlink>
      <w:r>
        <w:t xml:space="preserve">). The floor of</w:t>
      </w:r>
      <w:r>
        <w:t xml:space="preserve"> </w:t>
      </w:r>
      <m:oMath>
        <m:r>
          <m:t>4</m:t>
        </m:r>
      </m:oMath>
      <w:r>
        <w:t xml:space="preserve"> </w:t>
      </w:r>
      <w:r>
        <w:t xml:space="preserve">is deliberate—baselines can severely</w:t>
      </w:r>
      <w:r>
        <w:t xml:space="preserve"> </w:t>
      </w:r>
      <w:r>
        <w:rPr>
          <w:i/>
          <w:iCs/>
        </w:rPr>
        <w:t xml:space="preserve">under</w:t>
      </w:r>
      <w:r>
        <w:t xml:space="preserve">-segment (e.g. Olivetti baseline</w:t>
      </w:r>
      <w:r>
        <w:t xml:space="preserve"> </w:t>
      </w:r>
      <m:oMath>
        <m:r>
          <m:t>C</m:t>
        </m:r>
        <m:r>
          <m:rPr>
            <m:sty m:val="p"/>
          </m:rPr>
          <m:t>≈</m:t>
        </m:r>
        <m:r>
          <m:t>5</m:t>
        </m:r>
      </m:oMath>
      <w:r>
        <w:t xml:space="preserve"> </w:t>
      </w:r>
      <w:r>
        <w:t xml:space="preserve">vs. </w:t>
      </w:r>
      <m:oMath>
        <m:r>
          <m:t>40</m:t>
        </m:r>
      </m:oMath>
      <w:r>
        <w:t xml:space="preserve"> </w:t>
      </w:r>
      <w:r>
        <w:t xml:space="preserve">true classes), so the gate must admit a several-fold increase to capture real fine structure, while still blocking the runaway fragmentation (</w:t>
      </w:r>
      <m:oMath>
        <m:sSub>
          <m:e>
            <m:r>
              <m:t>C</m:t>
            </m:r>
          </m:e>
          <m:sub>
            <m:r>
              <m:t>H</m:t>
            </m:r>
          </m:sub>
        </m:sSub>
        <m:r>
          <m:t>​</m:t>
        </m:r>
        <m:r>
          <m:rPr>
            <m:sty m:val="p"/>
          </m:rPr>
          <m:t>≫</m:t>
        </m:r>
        <m:r>
          <m:t>​</m:t>
        </m:r>
        <m:sSub>
          <m:e>
            <m:r>
              <m:t>C</m:t>
            </m:r>
          </m:e>
          <m:sub>
            <m:r>
              <m:t>B</m:t>
            </m:r>
          </m:sub>
        </m:sSub>
      </m:oMath>
      <w:r>
        <w:t xml:space="preserve">) that internal-metric optimization tends to produce. Layers 2–3 then catch the milder failure modes: moderate fragmentation paired with a negligible internal-score gain (</w:t>
      </w:r>
      <m:oMath>
        <m:r>
          <m:rPr>
            <m:sty m:val="p"/>
          </m:rPr>
          <m:t>Δ</m:t>
        </m:r>
        <m:r>
          <m:t>s</m:t>
        </m:r>
        <m:r>
          <m:rPr>
            <m:sty m:val="p"/>
          </m:rPr>
          <m:t>&lt;</m:t>
        </m:r>
        <m:r>
          <m:t>0.06</m:t>
        </m:r>
      </m:oMath>
      <w:r>
        <w:t xml:space="preserve">), and outright internal-quality regression. The thresholds are intentionally conservative; because the gate can only</w:t>
      </w:r>
      <w:r>
        <w:t xml:space="preserve"> </w:t>
      </w:r>
      <w:r>
        <w:rPr>
          <w:i/>
          <w:iCs/>
        </w:rPr>
        <w:t xml:space="preserve">substitute the baseline</w:t>
      </w:r>
      <w:r>
        <w:t xml:space="preserve">, an overly strict</w:t>
      </w:r>
      <w:r>
        <w:t xml:space="preserve"> </w:t>
      </w:r>
      <m:oMath>
        <m:r>
          <m:t>ρ</m:t>
        </m:r>
      </m:oMath>
      <w:r>
        <w:t xml:space="preserve"> </w:t>
      </w:r>
      <w:r>
        <w:t xml:space="preserve">costs at most the engine’s gain on a dataset, whereas an overly loose</w:t>
      </w:r>
      <w:r>
        <w:t xml:space="preserve"> </w:t>
      </w:r>
      <m:oMath>
        <m:r>
          <m:t>ρ</m:t>
        </m:r>
      </m:oMath>
      <w:r>
        <w:t xml:space="preserve"> </w:t>
      </w:r>
      <w:r>
        <w:t xml:space="preserve">risks accepting a fragmented partition—an asymmetry that motivates erring toward the baseline. In the deployable implementation evaluated throughout, the gate reduces to selecting, among</w:t>
      </w:r>
      <w:r>
        <w:t xml:space="preserve"> </w:t>
      </w:r>
      <m:oMath>
        <m:r>
          <m:t>ρ</m:t>
        </m:r>
      </m:oMath>
      <w:r>
        <w:t xml:space="preserve">-eligible engines, the one with the highest internal score (</w:t>
      </w:r>
      <m:oMath>
        <m:r>
          <m:t>0.40</m:t>
        </m:r>
        <m:r>
          <m:t> </m:t>
        </m:r>
        <m:r>
          <m:rPr>
            <m:sty m:val="p"/>
          </m:rPr>
          <m:t>M</m:t>
        </m:r>
        <m:r>
          <m:rPr>
            <m:sty m:val="p"/>
          </m:rPr>
          <m:t>O</m:t>
        </m:r>
        <m:r>
          <m:rPr>
            <m:sty m:val="p"/>
          </m:rPr>
          <m:t>D</m:t>
        </m:r>
        <m:r>
          <m:rPr>
            <m:sty m:val="p"/>
          </m:rPr>
          <m:t>+</m:t>
        </m:r>
        <m:r>
          <m:t>0.35</m:t>
        </m:r>
        <m:r>
          <m:t> </m:t>
        </m:r>
        <m:r>
          <m:rPr>
            <m:sty m:val="p"/>
          </m:rPr>
          <m:t>S</m:t>
        </m:r>
        <m:r>
          <m:rPr>
            <m:sty m:val="p"/>
          </m:rPr>
          <m:t>I</m:t>
        </m:r>
        <m:r>
          <m:rPr>
            <m:sty m:val="p"/>
          </m:rPr>
          <m:t>L</m:t>
        </m:r>
        <m:r>
          <m:rPr>
            <m:sty m:val="p"/>
          </m:rPr>
          <m:t>+</m:t>
        </m:r>
        <m:r>
          <m:t>0.25</m:t>
        </m:r>
        <m:r>
          <m:t> </m:t>
        </m:r>
        <m:r>
          <m:rPr>
            <m:sty m:val="p"/>
          </m:rPr>
          <m:t>B</m:t>
        </m:r>
        <m:r>
          <m:rPr>
            <m:sty m:val="p"/>
          </m:rPr>
          <m:t>A</m:t>
        </m:r>
        <m:r>
          <m:rPr>
            <m:sty m:val="p"/>
          </m:rPr>
          <m:t>L</m:t>
        </m:r>
      </m:oMath>
      <w:r>
        <w:t xml:space="preserve">); the</w:t>
      </w:r>
      <w:r>
        <w:t xml:space="preserve"> </w:t>
      </w:r>
      <m:oMath>
        <m:r>
          <m:rPr>
            <m:sty m:val="p"/>
          </m:rPr>
          <m:t>Δ</m:t>
        </m:r>
        <m:r>
          <m:t>s</m:t>
        </m:r>
      </m:oMath>
      <w:r>
        <w:t xml:space="preserve"> </w:t>
      </w:r>
      <w:r>
        <w:t xml:space="preserve">and regression checks are conservative safeguards that rarely bind on these datasets (§</w:t>
      </w:r>
      <w:hyperlink w:anchor="sec:disc">
        <w:r>
          <w:rPr>
            <w:rStyle w:val="Hyperlink"/>
          </w:rPr>
          <w:t xml:space="preserve">5</w:t>
        </w:r>
      </w:hyperlink>
      <w:r>
        <w:t xml:space="preserve">), and the exact score normalizations, search bounds, integer rounding, graph bridging, and small-community merging are specified in the released reference implementation.</w:t>
      </w:r>
    </w:p>
    <w:bookmarkStart w:id="46" w:name="tab:rho"/>
    <w:p>
      <w:pPr>
        <w:pStyle w:val="TableCaption"/>
        <w:jc w:val="center"/>
      </w:pPr>
      <w:r>
        <w:rPr>
          <w:rFonts w:ascii="Times New Roman" w:hAnsi="Times New Roman" w:cs="Times New Roman"/>
          <w:color w:val="000000"/>
          <w:sz w:val="20"/>
        </w:rPr>
        <w:t xml:space="preserve">Table 2. </w:t>
      </w:r>
      <w:r>
        <w:rPr>
          <w:rFonts w:ascii="Times New Roman" w:hAnsi="Times New Roman" w:cs="Times New Roman"/>
          <w:color w:val="000000"/>
          <w:sz w:val="20"/>
        </w:rPr>
        <w:t xml:space="preserve">Size-adaptive over-fragmentation threshold</w:t>
      </w:r>
      <w:r>
        <w:rPr>
          <w:rFonts w:ascii="Times New Roman" w:hAnsi="Times New Roman" w:cs="Times New Roman"/>
          <w:color w:val="000000"/>
          <w:sz w:val="20"/>
        </w:rPr>
        <w:t xml:space="preserve"> </w:t>
      </w:r>
      <m:oMath>
        <m:r>
          <m:t>ρ</m:t>
        </m:r>
        <m:r>
          <m:rPr>
            <m:sty m:val="p"/>
          </m:rPr>
          <m:t>=</m:t>
        </m:r>
        <m:r>
          <m:rPr>
            <m:sty m:val="p"/>
          </m:rPr>
          <m:t>max</m:t>
        </m:r>
        <m:r>
          <m:rPr>
            <m:sty m:val="p"/>
          </m:rPr>
          <m:t>(</m:t>
        </m:r>
        <m:r>
          <m:t>4</m:t>
        </m:r>
        <m:r>
          <m:rPr>
            <m:sty m:val="p"/>
          </m:rPr>
          <m:t>,</m:t>
        </m:r>
        <m:rad>
          <m:radPr>
            <m:degHide m:val="on"/>
          </m:radPr>
          <m:deg/>
          <m:e>
            <m:r>
              <m:t>n</m:t>
            </m:r>
            <m:r>
              <m:rPr>
                <m:sty m:val="p"/>
              </m:rPr>
              <m:t>/</m:t>
            </m:r>
            <m:r>
              <m:t>50</m:t>
            </m:r>
          </m:e>
        </m:rad>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per dataset. Below the floor/</w:t>
      </w:r>
      <m:oMath>
        <m:rad>
          <m:radPr>
            <m:degHide m:val="on"/>
          </m:radPr>
          <m:deg/>
          <m:e>
            <m:r>
              <m:t>n</m:t>
            </m:r>
          </m:e>
        </m:rad>
      </m:oMath>
      <w:r>
        <w:rPr>
          <w:rFonts w:ascii="Times New Roman" w:hAnsi="Times New Roman" w:cs="Times New Roman"/>
          <w:color w:val="000000"/>
          <w:sz w:val="20"/>
        </w:rPr>
        <w:t xml:space="preserve"> </w:t>
      </w:r>
      <w:r>
        <w:rPr>
          <w:rFonts w:ascii="Times New Roman" w:hAnsi="Times New Roman" w:cs="Times New Roman"/>
          <w:color w:val="000000"/>
          <w:sz w:val="20"/>
        </w:rPr>
        <w:t xml:space="preserve">crossover (</w:t>
      </w:r>
      <m:oMath>
        <m:r>
          <m:t>n</m:t>
        </m:r>
        <m:r>
          <m:rPr>
            <m:sty m:val="p"/>
          </m:rPr>
          <m:t>=</m:t>
        </m:r>
        <m:r>
          <m:t>800</m:t>
        </m:r>
      </m:oMath>
      <w:r>
        <w:rPr>
          <w:rFonts w:ascii="Times New Roman" w:hAnsi="Times New Roman" w:cs="Times New Roman"/>
          <w:color w:val="000000"/>
          <w:sz w:val="20"/>
        </w:rPr>
        <w:t xml:space="preserve">) the constant floor governs; above it the</w:t>
      </w:r>
      <w:r>
        <w:rPr>
          <w:rFonts w:ascii="Times New Roman" w:hAnsi="Times New Roman" w:cs="Times New Roman"/>
          <w:color w:val="000000"/>
          <w:sz w:val="20"/>
        </w:rPr>
        <w:t xml:space="preserve"> </w:t>
      </w:r>
      <m:oMath>
        <m:rad>
          <m:radPr>
            <m:degHide m:val="on"/>
          </m:radPr>
          <m:deg/>
          <m:e>
            <m:r>
              <m:t>n</m:t>
            </m:r>
          </m:e>
        </m:rad>
      </m:oMath>
      <w:r>
        <w:rPr>
          <w:rFonts w:ascii="Times New Roman" w:hAnsi="Times New Roman" w:cs="Times New Roman"/>
          <w:color w:val="000000"/>
          <w:sz w:val="20"/>
        </w:rPr>
        <w:t xml:space="preserve"> </w:t>
      </w:r>
      <w:r>
        <w:rPr>
          <w:rFonts w:ascii="Times New Roman" w:hAnsi="Times New Roman" w:cs="Times New Roman"/>
          <w:color w:val="000000"/>
          <w:sz w:val="20"/>
        </w:rPr>
        <w:t xml:space="preserve">term governs.</w:t>
      </w:r>
    </w:p>
    <w:tbl>
      <w:tblPr>
        <w:tblStyle w:val="Table"/>
        <w:tblW w:type="dxa" w:w="4596"/>
        <w:tblLook w:firstRow="1" w:lastRow="0" w:firstColumn="0" w:lastColumn="0" w:noHBand="0" w:noVBand="0" w:val="0020"/>
        <w:tblCaption w:val="Size-adaptive over-fragmentation threshold \rho=\max(4,\sqrt{n/50}) per dataset. Below the floor/\sqrt{n} crossover (n{=}800) the constant floor governs; above it the \sqrt{n} term governs."/>
        <w:tblLayout w:type="fixed"/>
      </w:tblPr>
      <w:tblGrid>
        <w:gridCol w:w="1149"/>
        <w:gridCol w:w="1149"/>
        <w:gridCol w:w="1149"/>
        <w:gridCol w:w="1149"/>
      </w:tblGrid>
      <w:tr>
        <w:trPr>
          <w:tblHeader w:val="on"/>
        </w:trPr>
        <w:tc>
          <w:tcPr>
            <w:tcW w:type="dxa" w:w="1149"/>
          </w:tcPr>
          <w:p>
            <w:pPr>
              <w:pStyle w:val="Compact"/>
              <w:jc w:val="left"/>
            </w:pPr>
            <w:r>
              <w:t xml:space="preserve">Dataset</w:t>
            </w:r>
          </w:p>
        </w:tc>
        <w:tc>
          <w:tcPr>
            <w:tcW w:type="dxa" w:w="1149"/>
          </w:tcPr>
          <w:p>
            <w:pPr>
              <w:pStyle w:val="Compact"/>
              <w:jc w:val="right"/>
            </w:pPr>
            <m:oMath>
              <m:r>
                <m:t>n</m:t>
              </m:r>
            </m:oMath>
          </w:p>
        </w:tc>
        <w:tc>
          <w:tcPr>
            <w:tcW w:type="dxa" w:w="1149"/>
          </w:tcPr>
          <w:p>
            <w:pPr>
              <w:pStyle w:val="Compact"/>
              <w:jc w:val="center"/>
            </w:pPr>
            <m:oMath>
              <m:rad>
                <m:radPr>
                  <m:degHide m:val="on"/>
                </m:radPr>
                <m:deg/>
                <m:e>
                  <m:r>
                    <m:t>n</m:t>
                  </m:r>
                  <m:r>
                    <m:rPr>
                      <m:sty m:val="p"/>
                    </m:rPr>
                    <m:t>/</m:t>
                  </m:r>
                  <m:r>
                    <m:t>50</m:t>
                  </m:r>
                </m:e>
              </m:rad>
            </m:oMath>
          </w:p>
        </w:tc>
        <w:tc>
          <w:tcPr>
            <w:tcW w:type="dxa" w:w="1149"/>
          </w:tcPr>
          <w:p>
            <w:pPr>
              <w:pStyle w:val="Compact"/>
              <w:jc w:val="center"/>
            </w:pPr>
            <m:oMath>
              <m:r>
                <m:t>ρ</m:t>
              </m:r>
            </m:oMath>
            <w:r>
              <w:t xml:space="preserve"> </w:t>
            </w:r>
            <w:r>
              <w:t xml:space="preserve">(regime)</w:t>
            </w:r>
          </w:p>
        </w:tc>
      </w:tr>
      <w:tr>
        <w:tc>
          <w:tcPr>
            <w:tcW w:type="dxa" w:w="1149"/>
          </w:tcPr>
          <w:p>
            <w:pPr>
              <w:pStyle w:val="Compact"/>
              <w:jc w:val="left"/>
            </w:pPr>
            <w:r>
              <w:t xml:space="preserve">Wine</w:t>
            </w:r>
          </w:p>
        </w:tc>
        <w:tc>
          <w:tcPr>
            <w:tcW w:type="dxa" w:w="1149"/>
          </w:tcPr>
          <w:p>
            <w:pPr>
              <w:pStyle w:val="Compact"/>
              <w:jc w:val="right"/>
            </w:pPr>
            <w:r>
              <w:t xml:space="preserve">178</w:t>
            </w:r>
          </w:p>
        </w:tc>
        <w:tc>
          <w:tcPr>
            <w:tcW w:type="dxa" w:w="1149"/>
          </w:tcPr>
          <w:p>
            <w:pPr>
              <w:pStyle w:val="Compact"/>
              <w:jc w:val="center"/>
            </w:pPr>
            <w:r>
              <w:t xml:space="preserve">1.89</w:t>
            </w:r>
          </w:p>
        </w:tc>
        <w:tc>
          <w:tcPr>
            <w:tcW w:type="dxa" w:w="1149"/>
          </w:tcPr>
          <w:p>
            <w:pPr>
              <w:pStyle w:val="Compact"/>
              <w:jc w:val="center"/>
            </w:pPr>
            <w:r>
              <w:t xml:space="preserve">4.00 (floor)</w:t>
            </w:r>
          </w:p>
        </w:tc>
      </w:tr>
      <w:tr>
        <w:tc>
          <w:tcPr>
            <w:tcW w:type="dxa" w:w="1149"/>
          </w:tcPr>
          <w:p>
            <w:pPr>
              <w:pStyle w:val="Compact"/>
              <w:jc w:val="left"/>
            </w:pPr>
            <w:r>
              <w:t xml:space="preserve">Glass</w:t>
            </w:r>
          </w:p>
        </w:tc>
        <w:tc>
          <w:tcPr>
            <w:tcW w:type="dxa" w:w="1149"/>
          </w:tcPr>
          <w:p>
            <w:pPr>
              <w:pStyle w:val="Compact"/>
              <w:jc w:val="right"/>
            </w:pPr>
            <w:r>
              <w:t xml:space="preserve">214</w:t>
            </w:r>
          </w:p>
        </w:tc>
        <w:tc>
          <w:tcPr>
            <w:tcW w:type="dxa" w:w="1149"/>
          </w:tcPr>
          <w:p>
            <w:pPr>
              <w:pStyle w:val="Compact"/>
              <w:jc w:val="center"/>
            </w:pPr>
            <w:r>
              <w:t xml:space="preserve">2.07</w:t>
            </w:r>
          </w:p>
        </w:tc>
        <w:tc>
          <w:tcPr>
            <w:tcW w:type="dxa" w:w="1149"/>
          </w:tcPr>
          <w:p>
            <w:pPr>
              <w:pStyle w:val="Compact"/>
              <w:jc w:val="center"/>
            </w:pPr>
            <w:r>
              <w:t xml:space="preserve">4.00 (floor)</w:t>
            </w:r>
          </w:p>
        </w:tc>
      </w:tr>
      <w:tr>
        <w:tc>
          <w:tcPr>
            <w:tcW w:type="dxa" w:w="1149"/>
          </w:tcPr>
          <w:p>
            <w:pPr>
              <w:pStyle w:val="Compact"/>
              <w:jc w:val="left"/>
            </w:pPr>
            <w:r>
              <w:t xml:space="preserve">Olivetti</w:t>
            </w:r>
          </w:p>
        </w:tc>
        <w:tc>
          <w:tcPr>
            <w:tcW w:type="dxa" w:w="1149"/>
          </w:tcPr>
          <w:p>
            <w:pPr>
              <w:pStyle w:val="Compact"/>
              <w:jc w:val="right"/>
            </w:pPr>
            <w:r>
              <w:t xml:space="preserve">400</w:t>
            </w:r>
          </w:p>
        </w:tc>
        <w:tc>
          <w:tcPr>
            <w:tcW w:type="dxa" w:w="1149"/>
          </w:tcPr>
          <w:p>
            <w:pPr>
              <w:pStyle w:val="Compact"/>
              <w:jc w:val="center"/>
            </w:pPr>
            <w:r>
              <w:t xml:space="preserve">2.83</w:t>
            </w:r>
          </w:p>
        </w:tc>
        <w:tc>
          <w:tcPr>
            <w:tcW w:type="dxa" w:w="1149"/>
          </w:tcPr>
          <w:p>
            <w:pPr>
              <w:pStyle w:val="Compact"/>
              <w:jc w:val="center"/>
            </w:pPr>
            <w:r>
              <w:t xml:space="preserve">4.00 (floor)</w:t>
            </w:r>
          </w:p>
        </w:tc>
      </w:tr>
      <w:tr>
        <w:tc>
          <w:tcPr>
            <w:tcW w:type="dxa" w:w="1149"/>
          </w:tcPr>
          <w:p>
            <w:pPr>
              <w:pStyle w:val="Compact"/>
              <w:jc w:val="left"/>
            </w:pPr>
            <w:r>
              <w:t xml:space="preserve">CNAE-9</w:t>
            </w:r>
          </w:p>
        </w:tc>
        <w:tc>
          <w:tcPr>
            <w:tcW w:type="dxa" w:w="1149"/>
          </w:tcPr>
          <w:p>
            <w:pPr>
              <w:pStyle w:val="Compact"/>
              <w:jc w:val="right"/>
            </w:pPr>
            <w:r>
              <w:t xml:space="preserve">1080</w:t>
            </w:r>
          </w:p>
        </w:tc>
        <w:tc>
          <w:tcPr>
            <w:tcW w:type="dxa" w:w="1149"/>
          </w:tcPr>
          <w:p>
            <w:pPr>
              <w:pStyle w:val="Compact"/>
              <w:jc w:val="center"/>
            </w:pPr>
            <w:r>
              <w:t xml:space="preserve">4.65</w:t>
            </w:r>
          </w:p>
        </w:tc>
        <w:tc>
          <w:tcPr>
            <w:tcW w:type="dxa" w:w="1149"/>
          </w:tcPr>
          <w:p>
            <w:pPr>
              <w:pStyle w:val="Compact"/>
              <w:jc w:val="center"/>
            </w:pPr>
            <w:r>
              <w:t xml:space="preserve">4.65 (</w:t>
            </w:r>
            <m:oMath>
              <m:rad>
                <m:radPr>
                  <m:degHide m:val="on"/>
                </m:radPr>
                <m:deg/>
                <m:e>
                  <m:r>
                    <m:t>n</m:t>
                  </m:r>
                </m:e>
              </m:rad>
            </m:oMath>
            <w:r>
              <w:t xml:space="preserve">)</w:t>
            </w:r>
          </w:p>
        </w:tc>
      </w:tr>
      <w:tr>
        <w:tc>
          <w:tcPr>
            <w:tcW w:type="dxa" w:w="1149"/>
          </w:tcPr>
          <w:p>
            <w:pPr>
              <w:pStyle w:val="Compact"/>
              <w:jc w:val="left"/>
            </w:pPr>
            <w:r>
              <w:t xml:space="preserve">COIL-20</w:t>
            </w:r>
          </w:p>
        </w:tc>
        <w:tc>
          <w:tcPr>
            <w:tcW w:type="dxa" w:w="1149"/>
          </w:tcPr>
          <w:p>
            <w:pPr>
              <w:pStyle w:val="Compact"/>
              <w:jc w:val="right"/>
            </w:pPr>
            <w:r>
              <w:t xml:space="preserve">1440</w:t>
            </w:r>
          </w:p>
        </w:tc>
        <w:tc>
          <w:tcPr>
            <w:tcW w:type="dxa" w:w="1149"/>
          </w:tcPr>
          <w:p>
            <w:pPr>
              <w:pStyle w:val="Compact"/>
              <w:jc w:val="center"/>
            </w:pPr>
            <w:r>
              <w:t xml:space="preserve">5.37</w:t>
            </w:r>
          </w:p>
        </w:tc>
        <w:tc>
          <w:tcPr>
            <w:tcW w:type="dxa" w:w="1149"/>
          </w:tcPr>
          <w:p>
            <w:pPr>
              <w:pStyle w:val="Compact"/>
              <w:jc w:val="center"/>
            </w:pPr>
            <w:r>
              <w:t xml:space="preserve">5.37 (</w:t>
            </w:r>
            <m:oMath>
              <m:rad>
                <m:radPr>
                  <m:degHide m:val="on"/>
                </m:radPr>
                <m:deg/>
                <m:e>
                  <m:r>
                    <m:t>n</m:t>
                  </m:r>
                </m:e>
              </m:rad>
            </m:oMath>
            <w:r>
              <w:t xml:space="preserve">)</w:t>
            </w:r>
          </w:p>
        </w:tc>
      </w:tr>
      <w:tr>
        <w:tc>
          <w:tcPr>
            <w:tcW w:type="dxa" w:w="1149"/>
          </w:tcPr>
          <w:p>
            <w:pPr>
              <w:pStyle w:val="Compact"/>
              <w:jc w:val="left"/>
            </w:pPr>
            <w:r>
              <w:t xml:space="preserve">Optdigits</w:t>
            </w:r>
          </w:p>
        </w:tc>
        <w:tc>
          <w:tcPr>
            <w:tcW w:type="dxa" w:w="1149"/>
          </w:tcPr>
          <w:p>
            <w:pPr>
              <w:pStyle w:val="Compact"/>
              <w:jc w:val="right"/>
            </w:pPr>
            <w:r>
              <w:t xml:space="preserve">1797</w:t>
            </w:r>
          </w:p>
        </w:tc>
        <w:tc>
          <w:tcPr>
            <w:tcW w:type="dxa" w:w="1149"/>
          </w:tcPr>
          <w:p>
            <w:pPr>
              <w:pStyle w:val="Compact"/>
              <w:jc w:val="center"/>
            </w:pPr>
            <w:r>
              <w:t xml:space="preserve">5.99</w:t>
            </w:r>
          </w:p>
        </w:tc>
        <w:tc>
          <w:tcPr>
            <w:tcW w:type="dxa" w:w="1149"/>
          </w:tcPr>
          <w:p>
            <w:pPr>
              <w:pStyle w:val="Compact"/>
              <w:jc w:val="center"/>
            </w:pPr>
            <w:r>
              <w:t xml:space="preserve">5.99 (</w:t>
            </w:r>
            <m:oMath>
              <m:rad>
                <m:radPr>
                  <m:degHide m:val="on"/>
                </m:radPr>
                <m:deg/>
                <m:e>
                  <m:r>
                    <m:t>n</m:t>
                  </m:r>
                </m:e>
              </m:rad>
            </m:oMath>
            <w:r>
              <w:t xml:space="preserve">)</w:t>
            </w:r>
          </w:p>
        </w:tc>
      </w:tr>
      <w:tr>
        <w:tc>
          <w:tcPr>
            <w:tcW w:type="dxa" w:w="1149"/>
          </w:tcPr>
          <w:p>
            <w:pPr>
              <w:pStyle w:val="Compact"/>
              <w:jc w:val="left"/>
            </w:pPr>
            <w:r>
              <w:t xml:space="preserve">MFeat</w:t>
            </w:r>
          </w:p>
        </w:tc>
        <w:tc>
          <w:tcPr>
            <w:tcW w:type="dxa" w:w="1149"/>
          </w:tcPr>
          <w:p>
            <w:pPr>
              <w:pStyle w:val="Compact"/>
              <w:jc w:val="right"/>
            </w:pPr>
            <w:r>
              <w:t xml:space="preserve">2000</w:t>
            </w:r>
          </w:p>
        </w:tc>
        <w:tc>
          <w:tcPr>
            <w:tcW w:type="dxa" w:w="1149"/>
          </w:tcPr>
          <w:p>
            <w:pPr>
              <w:pStyle w:val="Compact"/>
              <w:jc w:val="center"/>
            </w:pPr>
            <w:r>
              <w:t xml:space="preserve">6.32</w:t>
            </w:r>
          </w:p>
        </w:tc>
        <w:tc>
          <w:tcPr>
            <w:tcW w:type="dxa" w:w="1149"/>
          </w:tcPr>
          <w:p>
            <w:pPr>
              <w:pStyle w:val="Compact"/>
              <w:jc w:val="center"/>
            </w:pPr>
            <w:r>
              <w:t xml:space="preserve">6.32 (</w:t>
            </w:r>
            <m:oMath>
              <m:rad>
                <m:radPr>
                  <m:degHide m:val="on"/>
                </m:radPr>
                <m:deg/>
                <m:e>
                  <m:r>
                    <m:t>n</m:t>
                  </m:r>
                </m:e>
              </m:rad>
            </m:oMath>
            <w:r>
              <w:t xml:space="preserve">)</w:t>
            </w:r>
          </w:p>
        </w:tc>
      </w:tr>
      <w:tr>
        <w:tc>
          <w:tcPr>
            <w:tcW w:type="dxa" w:w="1149"/>
          </w:tcPr>
          <w:p>
            <w:pPr>
              <w:pStyle w:val="Compact"/>
              <w:jc w:val="left"/>
            </w:pPr>
            <w:r>
              <w:t xml:space="preserve">Segmentation</w:t>
            </w:r>
          </w:p>
        </w:tc>
        <w:tc>
          <w:tcPr>
            <w:tcW w:type="dxa" w:w="1149"/>
          </w:tcPr>
          <w:p>
            <w:pPr>
              <w:pStyle w:val="Compact"/>
              <w:jc w:val="right"/>
            </w:pPr>
            <w:r>
              <w:t xml:space="preserve">2310</w:t>
            </w:r>
          </w:p>
        </w:tc>
        <w:tc>
          <w:tcPr>
            <w:tcW w:type="dxa" w:w="1149"/>
          </w:tcPr>
          <w:p>
            <w:pPr>
              <w:pStyle w:val="Compact"/>
              <w:jc w:val="center"/>
            </w:pPr>
            <w:r>
              <w:t xml:space="preserve">6.80</w:t>
            </w:r>
          </w:p>
        </w:tc>
        <w:tc>
          <w:tcPr>
            <w:tcW w:type="dxa" w:w="1149"/>
          </w:tcPr>
          <w:p>
            <w:pPr>
              <w:pStyle w:val="Compact"/>
              <w:jc w:val="center"/>
            </w:pPr>
            <w:r>
              <w:t xml:space="preserve">6.80 (</w:t>
            </w:r>
            <m:oMath>
              <m:rad>
                <m:radPr>
                  <m:degHide m:val="on"/>
                </m:radPr>
                <m:deg/>
                <m:e>
                  <m:r>
                    <m:t>n</m:t>
                  </m:r>
                </m:e>
              </m:rad>
            </m:oMath>
            <w:r>
              <w:t xml:space="preserve">)</w:t>
            </w:r>
          </w:p>
        </w:tc>
      </w:tr>
      <w:tr>
        <w:tc>
          <w:tcPr>
            <w:tcW w:type="dxa" w:w="1149"/>
          </w:tcPr>
          <w:p>
            <w:pPr>
              <w:pStyle w:val="Compact"/>
              <w:jc w:val="left"/>
            </w:pPr>
            <w:r>
              <w:t xml:space="preserve">ISOLET</w:t>
            </w:r>
          </w:p>
        </w:tc>
        <w:tc>
          <w:tcPr>
            <w:tcW w:type="dxa" w:w="1149"/>
          </w:tcPr>
          <w:p>
            <w:pPr>
              <w:pStyle w:val="Compact"/>
              <w:jc w:val="right"/>
            </w:pPr>
            <w:r>
              <w:t xml:space="preserve">6006</w:t>
            </w:r>
          </w:p>
        </w:tc>
        <w:tc>
          <w:tcPr>
            <w:tcW w:type="dxa" w:w="1149"/>
          </w:tcPr>
          <w:p>
            <w:pPr>
              <w:pStyle w:val="Compact"/>
              <w:jc w:val="center"/>
            </w:pPr>
            <w:r>
              <w:t xml:space="preserve">10.96</w:t>
            </w:r>
          </w:p>
        </w:tc>
        <w:tc>
          <w:tcPr>
            <w:tcW w:type="dxa" w:w="1149"/>
          </w:tcPr>
          <w:p>
            <w:pPr>
              <w:pStyle w:val="Compact"/>
              <w:jc w:val="center"/>
            </w:pPr>
            <w:r>
              <w:t xml:space="preserve">10.96 (</w:t>
            </w:r>
            <m:oMath>
              <m:rad>
                <m:radPr>
                  <m:degHide m:val="on"/>
                </m:radPr>
                <m:deg/>
                <m:e>
                  <m:r>
                    <m:t>n</m:t>
                  </m:r>
                </m:e>
              </m:rad>
            </m:oMath>
            <w:r>
              <w:t xml:space="preserve">)</w:t>
            </w:r>
          </w:p>
        </w:tc>
      </w:tr>
      <w:tr>
        <w:tc>
          <w:tcPr>
            <w:tcW w:type="dxa" w:w="1149"/>
          </w:tcPr>
          <w:p>
            <w:pPr>
              <w:pStyle w:val="Compact"/>
              <w:jc w:val="left"/>
            </w:pPr>
            <w:r>
              <w:t xml:space="preserve">Satimage</w:t>
            </w:r>
          </w:p>
        </w:tc>
        <w:tc>
          <w:tcPr>
            <w:tcW w:type="dxa" w:w="1149"/>
          </w:tcPr>
          <w:p>
            <w:pPr>
              <w:pStyle w:val="Compact"/>
              <w:jc w:val="right"/>
            </w:pPr>
            <w:r>
              <w:t xml:space="preserve">6430</w:t>
            </w:r>
          </w:p>
        </w:tc>
        <w:tc>
          <w:tcPr>
            <w:tcW w:type="dxa" w:w="1149"/>
          </w:tcPr>
          <w:p>
            <w:pPr>
              <w:pStyle w:val="Compact"/>
              <w:jc w:val="center"/>
            </w:pPr>
            <w:r>
              <w:t xml:space="preserve">11.34</w:t>
            </w:r>
          </w:p>
        </w:tc>
        <w:tc>
          <w:tcPr>
            <w:tcW w:type="dxa" w:w="1149"/>
          </w:tcPr>
          <w:p>
            <w:pPr>
              <w:pStyle w:val="Compact"/>
              <w:jc w:val="center"/>
            </w:pPr>
            <w:r>
              <w:t xml:space="preserve">11.34 (</w:t>
            </w:r>
            <m:oMath>
              <m:rad>
                <m:radPr>
                  <m:degHide m:val="on"/>
                </m:radPr>
                <m:deg/>
                <m:e>
                  <m:r>
                    <m:t>n</m:t>
                  </m:r>
                </m:e>
              </m:rad>
            </m:oMath>
            <w:r>
              <w:t xml:space="preserve">)</w:t>
            </w:r>
          </w:p>
        </w:tc>
      </w:tr>
      <w:tr>
        <w:tc>
          <w:tcPr>
            <w:tcW w:type="dxa" w:w="1149"/>
          </w:tcPr>
          <w:p>
            <w:pPr>
              <w:pStyle w:val="Compact"/>
              <w:jc w:val="left"/>
            </w:pPr>
            <w:r>
              <w:t xml:space="preserve">USPS</w:t>
            </w:r>
          </w:p>
        </w:tc>
        <w:tc>
          <w:tcPr>
            <w:tcW w:type="dxa" w:w="1149"/>
          </w:tcPr>
          <w:p>
            <w:pPr>
              <w:pStyle w:val="Compact"/>
              <w:jc w:val="right"/>
            </w:pPr>
            <w:r>
              <w:t xml:space="preserve">9298</w:t>
            </w:r>
          </w:p>
        </w:tc>
        <w:tc>
          <w:tcPr>
            <w:tcW w:type="dxa" w:w="1149"/>
          </w:tcPr>
          <w:p>
            <w:pPr>
              <w:pStyle w:val="Compact"/>
              <w:jc w:val="center"/>
            </w:pPr>
            <w:r>
              <w:t xml:space="preserve">13.64</w:t>
            </w:r>
          </w:p>
        </w:tc>
        <w:tc>
          <w:tcPr>
            <w:tcW w:type="dxa" w:w="1149"/>
          </w:tcPr>
          <w:p>
            <w:pPr>
              <w:pStyle w:val="Compact"/>
              <w:jc w:val="center"/>
            </w:pPr>
            <w:r>
              <w:t xml:space="preserve">13.64 (</w:t>
            </w:r>
            <m:oMath>
              <m:rad>
                <m:radPr>
                  <m:degHide m:val="on"/>
                </m:radPr>
                <m:deg/>
                <m:e>
                  <m:r>
                    <m:t>n</m:t>
                  </m:r>
                </m:e>
              </m:rad>
            </m:oMath>
            <w:r>
              <w:t xml:space="preserve">)</w:t>
            </w:r>
          </w:p>
        </w:tc>
      </w:tr>
      <w:tr>
        <w:tc>
          <w:tcPr>
            <w:tcW w:type="dxa" w:w="1149"/>
          </w:tcPr>
          <w:p>
            <w:pPr>
              <w:pStyle w:val="Compact"/>
              <w:jc w:val="left"/>
            </w:pPr>
            <w:r>
              <w:t xml:space="preserve">PenDigits</w:t>
            </w:r>
          </w:p>
        </w:tc>
        <w:tc>
          <w:tcPr>
            <w:tcW w:type="dxa" w:w="1149"/>
          </w:tcPr>
          <w:p>
            <w:pPr>
              <w:pStyle w:val="Compact"/>
              <w:jc w:val="right"/>
            </w:pPr>
            <w:r>
              <w:t xml:space="preserve">10992</w:t>
            </w:r>
          </w:p>
        </w:tc>
        <w:tc>
          <w:tcPr>
            <w:tcW w:type="dxa" w:w="1149"/>
          </w:tcPr>
          <w:p>
            <w:pPr>
              <w:pStyle w:val="Compact"/>
              <w:jc w:val="center"/>
            </w:pPr>
            <w:r>
              <w:t xml:space="preserve">14.83</w:t>
            </w:r>
          </w:p>
        </w:tc>
        <w:tc>
          <w:tcPr>
            <w:tcW w:type="dxa" w:w="1149"/>
          </w:tcPr>
          <w:p>
            <w:pPr>
              <w:pStyle w:val="Compact"/>
              <w:jc w:val="center"/>
            </w:pPr>
            <w:r>
              <w:t xml:space="preserve">14.83 (</w:t>
            </w:r>
            <m:oMath>
              <m:rad>
                <m:radPr>
                  <m:degHide m:val="on"/>
                </m:radPr>
                <m:deg/>
                <m:e>
                  <m:r>
                    <m:t>n</m:t>
                  </m:r>
                </m:e>
              </m:rad>
            </m:oMath>
            <w:r>
              <w:t xml:space="preserve">)</w:t>
            </w:r>
          </w:p>
        </w:tc>
      </w:tr>
    </w:tbl>
    <w:bookmarkEnd w:id="46"/>
    <w:p>
      <w:pPr>
        <w:pStyle w:val="BodyText"/>
        <w:spacing w:before="0" w:after="0" w:line="240" w:lineRule="auto"/>
        <w:ind w:firstLine="330"/>
        <w:jc w:val="both"/>
      </w:pPr>
      <w:r>
        <w:rPr>
          <w:b/>
          <w:bCs/>
          <w:color w:val="C00000"/>
        </w:rPr>
        <w:t xml:space="preserve">Are these constants fitted to the benchmarks?</w:t>
      </w:r>
      <w:r>
        <w:rPr>
          <w:color w:val="C00000"/>
        </w:rPr>
        <w:t xml:space="preserve"> </w:t>
      </w:r>
      <w:r>
        <w:rPr>
          <w:color w:val="C00000"/>
        </w:rPr>
        <w:t xml:space="preserve">A reasonable worry is that the gate’s constants—the floor of</w:t>
      </w:r>
      <w:r>
        <w:rPr>
          <w:color w:val="C00000"/>
        </w:rPr>
        <w:t xml:space="preserve"> </w:t>
      </w:r>
      <m:oMath>
        <m:r>
          <m:t>4</m:t>
        </m:r>
      </m:oMath>
      <w:r>
        <w:rPr>
          <w:color w:val="C00000"/>
        </w:rPr>
        <w:t xml:space="preserve">, the scaling</w:t>
      </w:r>
      <w:r>
        <w:rPr>
          <w:color w:val="C00000"/>
        </w:rPr>
        <w:t xml:space="preserve"> </w:t>
      </w:r>
      <m:oMath>
        <m:r>
          <m:t>c</m:t>
        </m:r>
        <m:r>
          <m:rPr>
            <m:sty m:val="p"/>
          </m:rPr>
          <m:t>=</m:t>
        </m:r>
        <m:r>
          <m:t>50</m:t>
        </m:r>
      </m:oMath>
      <w:r>
        <w:rPr>
          <w:color w:val="C00000"/>
        </w:rPr>
        <w:t xml:space="preserve">, and the score weights—were tuned on the very datasets we report. They were not, and Table </w:t>
      </w:r>
      <w:hyperlink w:anchor="tab:sensitivity">
        <w:r>
          <w:rPr>
            <w:rStyle w:val="Hyperlink"/>
          </w:rPr>
          <w:t xml:space="preserve">3</w:t>
        </w:r>
      </w:hyperlink>
      <w:r>
        <w:rPr>
          <w:color w:val="C00000"/>
        </w:rPr>
        <w:t xml:space="preserve"> </w:t>
      </w:r>
      <w:r>
        <w:rPr>
          <w:color w:val="C00000"/>
        </w:rPr>
        <w:t xml:space="preserve">shows why they need not be. Sweeping the rho floor (</w:t>
      </w:r>
      <m:oMath>
        <m:r>
          <m:t>2</m:t>
        </m:r>
      </m:oMath>
      <w:r>
        <w:rPr>
          <w:color w:val="C00000"/>
        </w:rPr>
        <w:t xml:space="preserve">–</w:t>
      </w:r>
      <m:oMath>
        <m:r>
          <m:t>6</m:t>
        </m:r>
      </m:oMath>
      <w:r>
        <w:rPr>
          <w:color w:val="C00000"/>
        </w:rPr>
        <w:t xml:space="preserve">) and</w:t>
      </w:r>
      <w:r>
        <w:rPr>
          <w:color w:val="C00000"/>
        </w:rPr>
        <w:t xml:space="preserve"> </w:t>
      </w:r>
      <m:oMath>
        <m:r>
          <m:t>c</m:t>
        </m:r>
      </m:oMath>
      <w:r>
        <w:rPr>
          <w:color w:val="C00000"/>
        </w:rPr>
        <w:t xml:space="preserve"> </w:t>
      </w:r>
      <w:r>
        <w:rPr>
          <w:color w:val="C00000"/>
        </w:rPr>
        <w:t xml:space="preserve">(</w:t>
      </w:r>
      <m:oMath>
        <m:r>
          <m:t>25</m:t>
        </m:r>
      </m:oMath>
      <w:r>
        <w:rPr>
          <w:color w:val="C00000"/>
        </w:rPr>
        <w:t xml:space="preserve">–</w:t>
      </w:r>
      <m:oMath>
        <m:r>
          <m:t>150</m:t>
        </m:r>
      </m:oMath>
      <w:r>
        <w:rPr>
          <w:color w:val="C00000"/>
        </w:rPr>
        <w:t xml:space="preserve">) leaves mean ARI essentially unchanged (within</w:t>
      </w:r>
      <w:r>
        <w:rPr>
          <w:color w:val="C00000"/>
        </w:rPr>
        <w:t xml:space="preserve"> </w:t>
      </w:r>
      <m:oMath>
        <m:r>
          <m:t>0.007</m:t>
        </m:r>
      </m:oMath>
      <w:r>
        <w:rPr>
          <w:color w:val="C00000"/>
        </w:rPr>
        <w:t xml:space="preserve">), and over the full weight simplex it stays in</w:t>
      </w:r>
      <w:r>
        <w:rPr>
          <w:color w:val="C00000"/>
        </w:rPr>
        <w:t xml:space="preserve"> </w:t>
      </w:r>
      <m:oMath>
        <m:r>
          <m:rPr>
            <m:sty m:val="p"/>
          </m:rPr>
          <m:t>[</m:t>
        </m:r>
        <m:r>
          <m:t>0.571</m:t>
        </m:r>
        <m:r>
          <m:rPr>
            <m:sty m:val="p"/>
          </m:rPr>
          <m:t>,</m:t>
        </m:r>
        <m:r>
          <m:t>0.627</m:t>
        </m:r>
        <m:r>
          <m:rPr>
            <m:sty m:val="p"/>
          </m:rPr>
          <m:t>]</m:t>
        </m:r>
      </m:oMath>
      <w:r>
        <w:rPr>
          <w:color w:val="C00000"/>
        </w:rPr>
        <w:t xml:space="preserve"> </w:t>
      </w:r>
      <w:r>
        <w:rPr>
          <w:color w:val="C00000"/>
        </w:rPr>
        <w:t xml:space="preserve">with the default within</w:t>
      </w:r>
      <w:r>
        <w:rPr>
          <w:color w:val="C00000"/>
        </w:rPr>
        <w:t xml:space="preserve"> </w:t>
      </w:r>
      <m:oMath>
        <m:r>
          <m:t>0.003</m:t>
        </m:r>
      </m:oMath>
      <w:r>
        <w:rPr>
          <w:color w:val="C00000"/>
        </w:rPr>
        <w:t xml:space="preserve"> </w:t>
      </w:r>
      <w:r>
        <w:rPr>
          <w:color w:val="C00000"/>
        </w:rPr>
        <w:t xml:space="preserve">of the best attainable; only a degenerate modularity-only weighting fails. More tellingly,</w:t>
      </w:r>
      <w:r>
        <w:rPr>
          <w:color w:val="C00000"/>
        </w:rPr>
        <w:t xml:space="preserve"> </w:t>
      </w:r>
      <w:r>
        <w:rPr>
          <w:i/>
          <w:iCs/>
          <w:color w:val="C00000"/>
        </w:rPr>
        <w:t xml:space="preserve">tuning</w:t>
      </w:r>
      <w:r>
        <w:rPr>
          <w:color w:val="C00000"/>
        </w:rPr>
        <w:t xml:space="preserve"> </w:t>
      </w:r>
      <w:r>
        <w:rPr>
          <w:color w:val="C00000"/>
        </w:rPr>
        <w:t xml:space="preserve">the weights on a six-dataset development split and evaluating on the disjoint six recovers only</w:t>
      </w:r>
      <w:r>
        <w:rPr>
          <w:color w:val="C00000"/>
        </w:rPr>
        <w:t xml:space="preserve"> </w:t>
      </w:r>
      <m:oMath>
        <m:r>
          <m:t>41</m:t>
        </m:r>
        <m:r>
          <m:rPr>
            <m:sty m:val="p"/>
          </m:rPr>
          <m:t>%</m:t>
        </m:r>
      </m:oMath>
      <w:r>
        <w:rPr>
          <w:color w:val="C00000"/>
        </w:rPr>
        <w:t xml:space="preserve"> </w:t>
      </w:r>
      <w:r>
        <w:rPr>
          <w:color w:val="C00000"/>
        </w:rPr>
        <w:t xml:space="preserve">of the oracle’s gain—</w:t>
      </w:r>
      <w:r>
        <w:rPr>
          <w:i/>
          <w:iCs/>
          <w:color w:val="C00000"/>
        </w:rPr>
        <w:t xml:space="preserve">below</w:t>
      </w:r>
      <w:r>
        <w:rPr>
          <w:color w:val="C00000"/>
        </w:rPr>
        <w:t xml:space="preserve"> </w:t>
      </w:r>
      <w:r>
        <w:rPr>
          <w:color w:val="C00000"/>
        </w:rPr>
        <w:t xml:space="preserve">the</w:t>
      </w:r>
      <w:r>
        <w:rPr>
          <w:color w:val="C00000"/>
        </w:rPr>
        <w:t xml:space="preserve"> </w:t>
      </w:r>
      <m:oMath>
        <m:r>
          <m:t>65</m:t>
        </m:r>
        <m:r>
          <m:rPr>
            <m:sty m:val="p"/>
          </m:rPr>
          <m:t>%</m:t>
        </m:r>
      </m:oMath>
      <w:r>
        <w:rPr>
          <w:color w:val="C00000"/>
        </w:rPr>
        <w:t xml:space="preserve"> </w:t>
      </w:r>
      <w:r>
        <w:rPr>
          <w:color w:val="C00000"/>
        </w:rPr>
        <w:t xml:space="preserve">of the fixed default. Fitting the constants to data therefore generalizes worse than leaving them fixed, so the defaults carry no label-dependent advantage.</w:t>
      </w:r>
    </w:p>
    <w:bookmarkStart w:id="47" w:name="tab:sensitivity"/>
    <w:p>
      <w:pPr>
        <w:pStyle w:val="TableCaption"/>
        <w:jc w:val="center"/>
      </w:pPr>
      <w:r>
        <w:rPr>
          <w:rFonts w:ascii="Times New Roman" w:hAnsi="Times New Roman" w:cs="Times New Roman"/>
          <w:color w:val="000000"/>
          <w:sz w:val="20"/>
        </w:rPr>
        <w:t xml:space="preserve">Table 3. </w:t>
      </w:r>
      <w:r>
        <w:rPr>
          <w:rFonts w:ascii="Times New Roman" w:hAnsi="Times New Roman" w:cs="Times New Roman"/>
          <w:color w:val="000000"/>
          <w:sz w:val="20"/>
        </w:rPr>
        <w:t xml:space="preserve">QualityGate sensitivity (12 datasets, 5 seeds). Mean ARI as each constant varies around its default (floor 4,</w:t>
      </w:r>
      <w:r>
        <w:rPr>
          <w:rFonts w:ascii="Times New Roman" w:hAnsi="Times New Roman" w:cs="Times New Roman"/>
          <w:color w:val="000000"/>
          <w:sz w:val="20"/>
        </w:rPr>
        <w:t xml:space="preserve"> </w:t>
      </w:r>
      <m:oMath>
        <m:r>
          <m:t>c</m:t>
        </m:r>
        <m:r>
          <m:rPr>
            <m:sty m:val="p"/>
          </m:rPr>
          <m:t>=</m:t>
        </m:r>
        <m:r>
          <m:t>50</m:t>
        </m:r>
      </m:oMath>
      <w:r>
        <w:rPr>
          <w:rFonts w:ascii="Times New Roman" w:hAnsi="Times New Roman" w:cs="Times New Roman"/>
          <w:color w:val="000000"/>
          <w:sz w:val="20"/>
        </w:rPr>
        <w:t xml:space="preserve">, weights .40/.35/.25); the gate is near-constant across the rho-guard ranges and insensitive to the score weights (only a degenerate modularity-only weighting fails). Tuning the weights on a 6-dataset development split and evaluating on the disjoint six recovers 41% of the oracle’s gain versus 65% for the fixed default (-24 points), so the constants are not fitted to these benchmarks.</w:t>
      </w:r>
    </w:p>
    <w:tbl>
      <w:tblPr>
        <w:tblStyle w:val="Table"/>
        <w:tblW w:type="dxa" w:w="4596"/>
        <w:tblLook w:firstRow="1" w:lastRow="0" w:firstColumn="0" w:lastColumn="0" w:noHBand="0" w:noVBand="0" w:val="0020"/>
        <w:tblCaption w:val="QualityGate sensitivity (12 datasets, 5 seeds). Mean ARI as each constant varies around its default (floor 4, c{=}50, weights .40/.35/.25); the gate is near-constant across the rho-guard ranges and insensitive to the score weights (only a degenerate modularity-only weighting fails). Tuning the weights on a 6-dataset development split and evaluating on the disjoint six recovers 41% of the oracle’s gain versus 65% for the fixed default (-24 points), so the constants are not fitted to these benchmarks."/>
        <w:tblLayout w:type="fixed"/>
      </w:tblPr>
      <w:tblGrid>
        <w:gridCol w:w="1532"/>
        <w:gridCol w:w="1532"/>
        <w:gridCol w:w="1532"/>
      </w:tblGrid>
      <w:tr>
        <w:trPr>
          <w:tblHeader w:val="on"/>
        </w:trPr>
        <w:tc>
          <w:tcPr>
            <w:tcW w:type="dxa" w:w="1532"/>
          </w:tcPr>
          <w:p>
            <w:pPr>
              <w:pStyle w:val="Compact"/>
              <w:jc w:val="left"/>
            </w:pPr>
            <w:r>
              <w:t xml:space="preserve">Varied constant</w:t>
            </w:r>
          </w:p>
        </w:tc>
        <w:tc>
          <w:tcPr>
            <w:tcW w:type="dxa" w:w="1532"/>
          </w:tcPr>
          <w:p>
            <w:pPr>
              <w:pStyle w:val="Compact"/>
              <w:jc w:val="center"/>
            </w:pPr>
            <w:r>
              <w:t xml:space="preserve">Range tested</w:t>
            </w:r>
          </w:p>
        </w:tc>
        <w:tc>
          <w:tcPr>
            <w:tcW w:type="dxa" w:w="1532"/>
          </w:tcPr>
          <w:p>
            <w:pPr>
              <w:pStyle w:val="Compact"/>
              <w:jc w:val="center"/>
            </w:pPr>
            <w:r>
              <w:t xml:space="preserve">Mean ARI</w:t>
            </w:r>
          </w:p>
        </w:tc>
      </w:tr>
      <w:tr>
        <w:tc>
          <w:tcPr>
            <w:tcW w:type="dxa" w:w="1532"/>
          </w:tcPr>
          <w:p>
            <w:pPr>
              <w:pStyle w:val="Compact"/>
              <w:jc w:val="left"/>
            </w:pPr>
            <w:r>
              <w:t xml:space="preserve">rho floor</w:t>
            </w:r>
          </w:p>
        </w:tc>
        <w:tc>
          <w:tcPr>
            <w:tcW w:type="dxa" w:w="1532"/>
          </w:tcPr>
          <w:p>
            <w:pPr>
              <w:pStyle w:val="Compact"/>
              <w:jc w:val="center"/>
            </w:pPr>
            <w:r>
              <w:t xml:space="preserve">2–6</w:t>
            </w:r>
          </w:p>
        </w:tc>
        <w:tc>
          <w:tcPr>
            <w:tcW w:type="dxa" w:w="1532"/>
          </w:tcPr>
          <w:p>
            <w:pPr>
              <w:pStyle w:val="Compact"/>
              <w:jc w:val="center"/>
            </w:pPr>
            <w:r>
              <w:t xml:space="preserve">0.617–0.624</w:t>
            </w:r>
          </w:p>
        </w:tc>
      </w:tr>
      <w:tr>
        <w:tc>
          <w:tcPr>
            <w:tcW w:type="dxa" w:w="1532"/>
          </w:tcPr>
          <w:p>
            <w:pPr>
              <w:pStyle w:val="Compact"/>
              <w:jc w:val="left"/>
            </w:pPr>
            <w:r>
              <w:t xml:space="preserve">scaling</w:t>
            </w:r>
            <w:r>
              <w:t xml:space="preserve"> </w:t>
            </w:r>
            <m:oMath>
              <m:r>
                <m:t>c</m:t>
              </m:r>
            </m:oMath>
          </w:p>
        </w:tc>
        <w:tc>
          <w:tcPr>
            <w:tcW w:type="dxa" w:w="1532"/>
          </w:tcPr>
          <w:p>
            <w:pPr>
              <w:pStyle w:val="Compact"/>
              <w:jc w:val="center"/>
            </w:pPr>
            <w:r>
              <w:t xml:space="preserve">25–150</w:t>
            </w:r>
          </w:p>
        </w:tc>
        <w:tc>
          <w:tcPr>
            <w:tcW w:type="dxa" w:w="1532"/>
          </w:tcPr>
          <w:p>
            <w:pPr>
              <w:pStyle w:val="Compact"/>
              <w:jc w:val="center"/>
            </w:pPr>
            <w:r>
              <w:t xml:space="preserve">0.624–0.624</w:t>
            </w:r>
          </w:p>
        </w:tc>
      </w:tr>
      <w:tr>
        <w:tc>
          <w:tcPr>
            <w:tcW w:type="dxa" w:w="1532"/>
          </w:tcPr>
          <w:p>
            <w:pPr>
              <w:pStyle w:val="Compact"/>
              <w:jc w:val="left"/>
            </w:pPr>
            <w:r>
              <w:t xml:space="preserve">score weights</w:t>
            </w:r>
          </w:p>
        </w:tc>
        <w:tc>
          <w:tcPr>
            <w:tcW w:type="dxa" w:w="1532"/>
          </w:tcPr>
          <w:p>
            <w:pPr>
              <w:pStyle w:val="Compact"/>
              <w:jc w:val="center"/>
            </w:pPr>
            <w:r>
              <w:t xml:space="preserve">full simplex</w:t>
            </w:r>
          </w:p>
        </w:tc>
        <w:tc>
          <w:tcPr>
            <w:tcW w:type="dxa" w:w="1532"/>
          </w:tcPr>
          <w:p>
            <w:pPr>
              <w:pStyle w:val="Compact"/>
              <w:jc w:val="center"/>
            </w:pPr>
            <w:r>
              <w:t xml:space="preserve">0.571–0.627</w:t>
            </w:r>
          </w:p>
        </w:tc>
      </w:tr>
      <w:tr>
        <w:tc>
          <w:tcPr>
            <w:tcW w:type="dxa" w:w="1532"/>
          </w:tcPr>
          <w:p>
            <w:pPr>
              <w:pStyle w:val="Compact"/>
              <w:jc w:val="left"/>
            </w:pPr>
            <w:r>
              <w:rPr>
                <w:b/>
                <w:bCs/>
              </w:rPr>
              <w:t xml:space="preserve">Default</w:t>
            </w:r>
            <w:r>
              <w:t xml:space="preserve"> </w:t>
            </w:r>
            <w:r>
              <w:t xml:space="preserve">(floor 4,</w:t>
            </w:r>
            <w:r>
              <w:t xml:space="preserve"> </w:t>
            </w:r>
            <m:oMath>
              <m:r>
                <m:t>c</m:t>
              </m:r>
              <m:r>
                <m:rPr>
                  <m:sty m:val="p"/>
                </m:rPr>
                <m:t>=</m:t>
              </m:r>
              <m:r>
                <m:t>50</m:t>
              </m:r>
            </m:oMath>
            <w:r>
              <w:t xml:space="preserve">)</w:t>
            </w:r>
          </w:p>
        </w:tc>
        <w:tc>
          <w:tcPr>
            <w:tcW w:type="dxa" w:w="1532"/>
          </w:tcPr>
          <w:p>
            <w:pPr>
              <w:pStyle w:val="Compact"/>
              <w:jc w:val="center"/>
            </w:pPr>
            <w:r>
              <w:t xml:space="preserve">—</w:t>
            </w:r>
          </w:p>
        </w:tc>
        <w:tc>
          <w:tcPr>
            <w:tcW w:type="dxa" w:w="1532"/>
          </w:tcPr>
          <w:p>
            <w:pPr>
              <w:pStyle w:val="Compact"/>
              <w:jc w:val="center"/>
            </w:pPr>
            <w:r>
              <w:rPr>
                <w:b/>
                <w:bCs/>
              </w:rPr>
              <w:t xml:space="preserve">0.624</w:t>
            </w:r>
          </w:p>
        </w:tc>
      </w:tr>
    </w:tbl>
    <w:bookmarkEnd w:id="47"/>
    <w:p>
      <w:pPr>
        <w:pStyle w:val="BodyText"/>
        <w:spacing w:before="0" w:after="0" w:line="240" w:lineRule="auto"/>
        <w:ind w:firstLine="330"/>
        <w:jc w:val="both"/>
      </w:pPr>
      <w:r>
        <w:rPr>
          <w:b/>
          <w:bCs/>
        </w:rPr>
        <w:t xml:space="preserve">Why SNN over KNN.</w:t>
      </w:r>
      <w:r>
        <w:t xml:space="preserve"> </w:t>
      </w:r>
      <w:r>
        <w:t xml:space="preserve">In high dimension, pairwise Euclidean distances concentrate—the contrast between nearest and farthest neighbors vanishes—so raw-distance edge weights become unreliable [32]. The SNN weight</w:t>
      </w:r>
      <w:r>
        <w:t xml:space="preserve"> </w:t>
      </w:r>
      <m:oMath>
        <m:sSub>
          <m:e>
            <m:r>
              <m:t>w</m:t>
            </m:r>
          </m:e>
          <m:sub>
            <m:r>
              <m:t>i</m:t>
            </m:r>
            <m:r>
              <m:t>j</m:t>
            </m:r>
          </m:sub>
        </m:sSub>
        <m:r>
          <m:rPr>
            <m:sty m:val="p"/>
          </m:rPr>
          <m:t>=</m:t>
        </m:r>
        <m:r>
          <m:rPr>
            <m:sty m:val="p"/>
          </m:rPr>
          <m:t>|</m:t>
        </m:r>
        <m:sSub>
          <m:e>
            <m:r>
              <m:t>N</m:t>
            </m:r>
          </m:e>
          <m:sub>
            <m:r>
              <m:t>k</m:t>
            </m:r>
          </m:sub>
        </m:sSub>
        <m:r>
          <m:rPr>
            <m:sty m:val="p"/>
          </m:rPr>
          <m:t>(</m:t>
        </m:r>
        <m:r>
          <m:t>i</m:t>
        </m:r>
        <m:r>
          <m:rPr>
            <m:sty m:val="p"/>
          </m:rPr>
          <m:t>)</m:t>
        </m:r>
        <m:r>
          <m:rPr>
            <m:sty m:val="p"/>
          </m:rPr>
          <m:t>∩</m:t>
        </m:r>
        <m:sSub>
          <m:e>
            <m:r>
              <m:t>N</m:t>
            </m:r>
          </m:e>
          <m:sub>
            <m:r>
              <m:t>k</m:t>
            </m:r>
          </m:sub>
        </m:sSub>
        <m:r>
          <m:rPr>
            <m:sty m:val="p"/>
          </m:rPr>
          <m:t>(</m:t>
        </m:r>
        <m:r>
          <m:t>j</m:t>
        </m:r>
        <m:r>
          <m:rPr>
            <m:sty m:val="p"/>
          </m:rPr>
          <m:t>)</m:t>
        </m:r>
        <m:r>
          <m:rPr>
            <m:sty m:val="p"/>
          </m:rPr>
          <m:t>|</m:t>
        </m:r>
        <m:r>
          <m:rPr>
            <m:sty m:val="p"/>
          </m:rPr>
          <m:t>/</m:t>
        </m:r>
        <m:r>
          <m:t>k</m:t>
        </m:r>
      </m:oMath>
      <w:r>
        <w:t xml:space="preserve"> </w:t>
      </w:r>
      <w:r>
        <w:t xml:space="preserve">depends only on the</w:t>
      </w:r>
      <w:r>
        <w:t xml:space="preserve"> </w:t>
      </w:r>
      <w:r>
        <w:rPr>
          <w:i/>
          <w:iCs/>
        </w:rPr>
        <w:t xml:space="preserve">overlap of neighbor sets</w:t>
      </w:r>
      <w:r>
        <w:t xml:space="preserve">, a rank-based quantity that is far more stable than absolute distance under this concentration, and shared-neighbor similarities are known to mitigate the curse of dimensionality directly [33]. This motivates SNN for the high-dimensional representations in EMR-CGC’s ensemble; consistent with the theory, its measured benefit is concentrated on the highest-dimensional datasets, while it is neutral-to-negative elsewhere (§</w:t>
      </w:r>
      <w:hyperlink w:anchor="sec:disc">
        <w:r>
          <w:rPr>
            <w:rStyle w:val="Hyperlink"/>
          </w:rPr>
          <w:t xml:space="preserve">5</w:t>
        </w:r>
      </w:hyperlink>
      <w:r>
        <w:t xml:space="preserve">).</w:t>
      </w:r>
    </w:p>
    <w:bookmarkEnd w:id="48"/>
    <w:bookmarkStart w:id="49" w:name="algorithms"/>
    <w:p>
      <w:pPr>
        <w:pStyle w:val="Heading2"/>
        <w:jc w:val="left"/>
      </w:pPr>
      <w:r>
        <w:rPr>
          <w:rFonts w:ascii="Times New Roman" w:hAnsi="Times New Roman" w:cs="Times New Roman"/>
          <w:b/>
          <w:color w:val="000000"/>
          <w:sz w:val="22"/>
        </w:rPr>
        <w:t>Algorithms</w:t>
      </w:r>
    </w:p>
    <w:p>
      <w:pPr>
        <w:pStyle w:val="FirstParagraph"/>
        <w:spacing w:before="0" w:after="0" w:line="240" w:lineRule="auto"/>
        <w:ind w:firstLine="330"/>
        <w:jc w:val="both"/>
      </w:pPr>
      <w:r>
        <w:t xml:space="preserve">The main DEAC algorithm and its two engines are presented in Algorithms </w:t>
      </w:r>
      <w:hyperlink w:anchor="alg:deac">
        <w:r>
          <w:rPr>
            <w:rStyle w:val="Hyperlink"/>
          </w:rPr>
          <w:t xml:space="preserve">[alg:deac]</w:t>
        </w:r>
      </w:hyperlink>
      <w:r>
        <w:t xml:space="preserve">–</w:t>
      </w:r>
      <w:hyperlink w:anchor="alg:emrcgc">
        <w:r>
          <w:rPr>
            <w:rStyle w:val="Hyperlink"/>
          </w:rPr>
          <w:t xml:space="preserve">[alg:emrcgc]</w:t>
        </w:r>
      </w:hyperlink>
      <w:r>
        <w:t xml:space="preserve">.</w:t>
      </w:r>
    </w:p>
    <w:p>
      <w:pPr>
        <w:pStyle w:val="BodyText"/>
        <w:spacing w:before="0" w:after="0" w:line="240" w:lineRule="auto"/>
        <w:ind w:firstLine="330"/>
        <w:jc w:val="both"/>
      </w:pPr>
      <w:r>
        <w:t xml:space="preserve">Data</w:t>
      </w:r>
      <w:r>
        <w:t xml:space="preserve"> </w:t>
      </w:r>
      <m:oMath>
        <m:r>
          <m:rPr>
            <m:sty m:val="bi"/>
          </m:rPr>
          <m:t>X</m:t>
        </m:r>
        <m:r>
          <m:rPr>
            <m:sty m:val="p"/>
          </m:rPr>
          <m:t>∈</m:t>
        </m:r>
        <m:sSup>
          <m:e>
            <m:r>
              <m:rPr>
                <m:scr m:val="double-struck"/>
                <m:sty m:val="p"/>
              </m:rPr>
              <m:t>R</m:t>
            </m:r>
          </m:e>
          <m:sup>
            <m:r>
              <m:t>n</m:t>
            </m:r>
            <m:r>
              <m:rPr>
                <m:sty m:val="p"/>
              </m:rPr>
              <m:t>×</m:t>
            </m:r>
            <m:r>
              <m:t>d</m:t>
            </m:r>
          </m:sup>
        </m:sSup>
      </m:oMath>
      <w:r>
        <w:t xml:space="preserve">, seed</w:t>
      </w:r>
      <w:r>
        <w:t xml:space="preserve"> </w:t>
      </w:r>
      <m:oMath>
        <m:r>
          <m:t>s</m:t>
        </m:r>
      </m:oMath>
      <w:r>
        <w:t xml:space="preserve"> </w:t>
      </w:r>
      <w:r>
        <w:t xml:space="preserve">Cluster labels</w:t>
      </w:r>
      <w:r>
        <w:t xml:space="preserve"> </w:t>
      </w:r>
      <m:oMath>
        <m:sSup>
          <m:e>
            <m:acc>
              <m:accPr>
                <m:chr m:val="̂"/>
              </m:accPr>
              <m:e>
                <m:r>
                  <m:rPr>
                    <m:sty m:val="bi"/>
                  </m:rPr>
                  <m:t>y</m:t>
                </m:r>
              </m:e>
            </m:acc>
          </m:e>
          <m:sup>
            <m:r>
              <m:rPr>
                <m:sty m:val="p"/>
              </m:rPr>
              <m:t>*</m:t>
            </m:r>
          </m:sup>
        </m:sSup>
      </m:oMath>
      <w:r>
        <w:t xml:space="preserve"> </w:t>
      </w:r>
      <m:oMath>
        <m:sSub>
          <m:e>
            <m:acc>
              <m:accPr>
                <m:chr m:val="̂"/>
              </m:accPr>
              <m:e>
                <m:r>
                  <m:rPr>
                    <m:sty m:val="bi"/>
                  </m:rPr>
                  <m:t>y</m:t>
                </m:r>
              </m:e>
            </m:acc>
          </m:e>
          <m:sub>
            <m:r>
              <m:t>B</m:t>
            </m:r>
          </m:sub>
        </m:sSub>
        <m:r>
          <m:rPr>
            <m:sty m:val="p"/>
          </m:rPr>
          <m:t>←</m:t>
        </m:r>
      </m:oMath>
      <w:r>
        <w:t xml:space="preserve"> </w:t>
      </w:r>
      <w:r>
        <w:t xml:space="preserve">GraphCluster</w:t>
      </w:r>
      <m:oMath>
        <m:r>
          <m:rPr>
            <m:sty m:val="p"/>
          </m:rPr>
          <m:t>(</m:t>
        </m:r>
        <m:r>
          <m:rPr>
            <m:sty m:val="bi"/>
          </m:rPr>
          <m:t>X</m:t>
        </m:r>
        <m:r>
          <m:rPr>
            <m:sty m:val="p"/>
          </m:rPr>
          <m:t>,</m:t>
        </m:r>
        <m:r>
          <m:rPr>
            <m:nor/>
            <m:sty m:val="p"/>
          </m:rPr>
          <m:t>UMAP</m:t>
        </m:r>
        <m:r>
          <m:rPr>
            <m:sty m:val="p"/>
          </m:rPr>
          <m:t>,</m:t>
        </m:r>
        <m:r>
          <m:t>k</m:t>
        </m:r>
        <m:r>
          <m:rPr>
            <m:sty m:val="p"/>
          </m:rPr>
          <m:t>=</m:t>
        </m:r>
        <m:r>
          <m:t>35</m:t>
        </m:r>
        <m:r>
          <m:rPr>
            <m:sty m:val="p"/>
          </m:rPr>
          <m:t>,</m:t>
        </m:r>
        <m:r>
          <m:t>q</m:t>
        </m:r>
        <m:r>
          <m:rPr>
            <m:sty m:val="p"/>
          </m:rPr>
          <m:t>=</m:t>
        </m:r>
        <m:r>
          <m:t>0.1</m:t>
        </m:r>
        <m:r>
          <m:rPr>
            <m:sty m:val="p"/>
          </m:rPr>
          <m:t>,</m:t>
        </m:r>
        <m:r>
          <m:t>r</m:t>
        </m:r>
        <m:r>
          <m:rPr>
            <m:sty m:val="p"/>
          </m:rPr>
          <m:t>=</m:t>
        </m:r>
        <m:r>
          <m:t>0.25</m:t>
        </m:r>
        <m:r>
          <m:rPr>
            <m:sty m:val="p"/>
          </m:rPr>
          <m:t>)</m:t>
        </m:r>
      </m:oMath>
      <w:r>
        <w:t xml:space="preserve"> </w:t>
      </w:r>
      <m:oMath>
        <m:r>
          <m:rPr>
            <m:sty m:val="p"/>
          </m:rPr>
          <m:t>(</m:t>
        </m:r>
        <m:sSup>
          <m:e>
            <m:r>
              <m:rPr>
                <m:sty m:val="bi"/>
              </m:rPr>
              <m:t>θ</m:t>
            </m:r>
          </m:e>
          <m:sup>
            <m:r>
              <m:rPr>
                <m:sty m:val="p"/>
              </m:rPr>
              <m:t>*</m:t>
            </m:r>
          </m:sup>
        </m:sSup>
        <m:r>
          <m:rPr>
            <m:sty m:val="p"/>
          </m:rPr>
          <m:t>,</m:t>
        </m:r>
        <m:sSup>
          <m:e>
            <m:r>
              <m:rPr>
                <m:nor/>
                <m:sty m:val="p"/>
              </m:rPr>
              <m:t>rep</m:t>
            </m:r>
          </m:e>
          <m:sup>
            <m:r>
              <m:rPr>
                <m:sty m:val="p"/>
              </m:rPr>
              <m:t>*</m:t>
            </m:r>
          </m:sup>
        </m:sSup>
        <m:r>
          <m:rPr>
            <m:sty m:val="p"/>
          </m:rPr>
          <m:t>)</m:t>
        </m:r>
        <m:r>
          <m:rPr>
            <m:sty m:val="p"/>
          </m:rPr>
          <m:t>←</m:t>
        </m:r>
      </m:oMath>
      <w:r>
        <w:t xml:space="preserve"> </w:t>
      </w:r>
      <w:r>
        <w:t xml:space="preserve">AMR-DE</w:t>
      </w:r>
      <m:oMath>
        <m:r>
          <m:rPr>
            <m:sty m:val="p"/>
          </m:rPr>
          <m:t>(</m:t>
        </m:r>
        <m:r>
          <m:rPr>
            <m:sty m:val="bi"/>
          </m:rPr>
          <m:t>X</m:t>
        </m:r>
        <m:r>
          <m:rPr>
            <m:sty m:val="p"/>
          </m:rPr>
          <m:t>,</m:t>
        </m:r>
        <m:r>
          <m:t>s</m:t>
        </m:r>
        <m:r>
          <m:rPr>
            <m:sty m:val="p"/>
          </m:rPr>
          <m:t>)</m:t>
        </m:r>
      </m:oMath>
      <w:r>
        <w:t xml:space="preserve"> </w:t>
      </w:r>
      <m:oMath>
        <m:sSub>
          <m:e>
            <m:acc>
              <m:accPr>
                <m:chr m:val="̂"/>
              </m:accPr>
              <m:e>
                <m:r>
                  <m:rPr>
                    <m:sty m:val="bi"/>
                  </m:rPr>
                  <m:t>y</m:t>
                </m:r>
              </m:e>
            </m:acc>
          </m:e>
          <m:sub>
            <m:r>
              <m:t>D</m:t>
            </m:r>
            <m:r>
              <m:t>E</m:t>
            </m:r>
          </m:sub>
        </m:sSub>
        <m:r>
          <m:rPr>
            <m:sty m:val="p"/>
          </m:rPr>
          <m:t>←</m:t>
        </m:r>
      </m:oMath>
      <w:r>
        <w:t xml:space="preserve"> </w:t>
      </w:r>
      <w:r>
        <w:t xml:space="preserve">GraphCluster</w:t>
      </w:r>
      <m:oMath>
        <m:r>
          <m:rPr>
            <m:sty m:val="p"/>
          </m:rPr>
          <m:t>(</m:t>
        </m:r>
        <m:r>
          <m:rPr>
            <m:sty m:val="bi"/>
          </m:rPr>
          <m:t>X</m:t>
        </m:r>
        <m:r>
          <m:rPr>
            <m:sty m:val="p"/>
          </m:rPr>
          <m:t>,</m:t>
        </m:r>
        <m:sSup>
          <m:e>
            <m:r>
              <m:rPr>
                <m:nor/>
                <m:sty m:val="p"/>
              </m:rPr>
              <m:t>rep</m:t>
            </m:r>
          </m:e>
          <m:sup>
            <m:r>
              <m:rPr>
                <m:sty m:val="p"/>
              </m:rPr>
              <m:t>*</m:t>
            </m:r>
          </m:sup>
        </m:sSup>
        <m:r>
          <m:rPr>
            <m:sty m:val="p"/>
          </m:rPr>
          <m:t>,</m:t>
        </m:r>
        <m:sSup>
          <m:e>
            <m:r>
              <m:rPr>
                <m:sty m:val="bi"/>
              </m:rPr>
              <m:t>θ</m:t>
            </m:r>
          </m:e>
          <m:sup>
            <m:r>
              <m:rPr>
                <m:sty m:val="p"/>
              </m:rPr>
              <m:t>*</m:t>
            </m:r>
          </m:sup>
        </m:sSup>
        <m:r>
          <m:rPr>
            <m:sty m:val="p"/>
          </m:rPr>
          <m:t>)</m:t>
        </m:r>
      </m:oMath>
      <w:r>
        <w:t xml:space="preserve"> </w:t>
      </w:r>
      <m:oMath>
        <m:sSub>
          <m:e>
            <m:acc>
              <m:accPr>
                <m:chr m:val="̂"/>
              </m:accPr>
              <m:e>
                <m:r>
                  <m:rPr>
                    <m:sty m:val="bi"/>
                  </m:rPr>
                  <m:t>y</m:t>
                </m:r>
              </m:e>
            </m:acc>
          </m:e>
          <m:sub>
            <m:r>
              <m:t>E</m:t>
            </m:r>
            <m:r>
              <m:t>M</m:t>
            </m:r>
            <m:r>
              <m:t>R</m:t>
            </m:r>
          </m:sub>
        </m:sSub>
        <m:r>
          <m:rPr>
            <m:sty m:val="p"/>
          </m:rPr>
          <m:t>←</m:t>
        </m:r>
      </m:oMath>
      <w:r>
        <w:t xml:space="preserve"> </w:t>
      </w:r>
      <w:r>
        <w:t xml:space="preserve">EMR-CGC</w:t>
      </w:r>
      <m:oMath>
        <m:r>
          <m:rPr>
            <m:sty m:val="p"/>
          </m:rPr>
          <m:t>(</m:t>
        </m:r>
        <m:r>
          <m:rPr>
            <m:sty m:val="bi"/>
          </m:rPr>
          <m:t>X</m:t>
        </m:r>
        <m:r>
          <m:rPr>
            <m:sty m:val="p"/>
          </m:rPr>
          <m:t>,</m:t>
        </m:r>
        <m:r>
          <m:t>s</m:t>
        </m:r>
        <m:r>
          <m:rPr>
            <m:sty m:val="p"/>
          </m:rPr>
          <m:t>)</m:t>
        </m:r>
      </m:oMath>
      <w:r>
        <w:t xml:space="preserve"> </w:t>
      </w:r>
      <m:oMath>
        <m:sSup>
          <m:e>
            <m:acc>
              <m:accPr>
                <m:chr m:val="̂"/>
              </m:accPr>
              <m:e>
                <m:r>
                  <m:rPr>
                    <m:sty m:val="bi"/>
                  </m:rPr>
                  <m:t>y</m:t>
                </m:r>
              </m:e>
            </m:acc>
          </m:e>
          <m:sup>
            <m:r>
              <m:rPr>
                <m:sty m:val="p"/>
              </m:rPr>
              <m:t>*</m:t>
            </m:r>
          </m:sup>
        </m:sSup>
        <m:r>
          <m:rPr>
            <m:sty m:val="p"/>
          </m:rPr>
          <m:t>←</m:t>
        </m:r>
      </m:oMath>
      <w:r>
        <w:t xml:space="preserve"> </w:t>
      </w:r>
      <w:r>
        <w:t xml:space="preserve">QualityGate</w:t>
      </w:r>
      <m:oMath>
        <m:r>
          <m:rPr>
            <m:sty m:val="p"/>
          </m:rPr>
          <m:t>(</m:t>
        </m:r>
        <m:sSub>
          <m:e>
            <m:acc>
              <m:accPr>
                <m:chr m:val="̂"/>
              </m:accPr>
              <m:e>
                <m:r>
                  <m:rPr>
                    <m:sty m:val="bi"/>
                  </m:rPr>
                  <m:t>y</m:t>
                </m:r>
              </m:e>
            </m:acc>
          </m:e>
          <m:sub>
            <m:r>
              <m:t>B</m:t>
            </m:r>
          </m:sub>
        </m:sSub>
        <m:r>
          <m:rPr>
            <m:sty m:val="p"/>
          </m:rPr>
          <m:t>,</m:t>
        </m:r>
        <m:sSub>
          <m:e>
            <m:acc>
              <m:accPr>
                <m:chr m:val="̂"/>
              </m:accPr>
              <m:e>
                <m:r>
                  <m:rPr>
                    <m:sty m:val="bi"/>
                  </m:rPr>
                  <m:t>y</m:t>
                </m:r>
              </m:e>
            </m:acc>
          </m:e>
          <m:sub>
            <m:r>
              <m:t>D</m:t>
            </m:r>
            <m:r>
              <m:t>E</m:t>
            </m:r>
          </m:sub>
        </m:sSub>
        <m:r>
          <m:rPr>
            <m:sty m:val="p"/>
          </m:rPr>
          <m:t>,</m:t>
        </m:r>
        <m:sSub>
          <m:e>
            <m:acc>
              <m:accPr>
                <m:chr m:val="̂"/>
              </m:accPr>
              <m:e>
                <m:r>
                  <m:rPr>
                    <m:sty m:val="bi"/>
                  </m:rPr>
                  <m:t>y</m:t>
                </m:r>
              </m:e>
            </m:acc>
          </m:e>
          <m:sub>
            <m:r>
              <m:t>E</m:t>
            </m:r>
            <m:r>
              <m:t>M</m:t>
            </m:r>
            <m:r>
              <m:t>R</m:t>
            </m:r>
          </m:sub>
        </m:sSub>
        <m:r>
          <m:rPr>
            <m:sty m:val="p"/>
          </m:rPr>
          <m:t>,</m:t>
        </m:r>
        <m:r>
          <m:t>n</m:t>
        </m:r>
        <m:r>
          <m:rPr>
            <m:sty m:val="p"/>
          </m:rPr>
          <m:t>)</m:t>
        </m:r>
      </m:oMath>
      <w:r>
        <w:t xml:space="preserve"> </w:t>
      </w:r>
      <m:oMath>
        <m:sSup>
          <m:e>
            <m:acc>
              <m:accPr>
                <m:chr m:val="̂"/>
              </m:accPr>
              <m:e>
                <m:r>
                  <m:rPr>
                    <m:sty m:val="bi"/>
                  </m:rPr>
                  <m:t>y</m:t>
                </m:r>
              </m:e>
            </m:acc>
          </m:e>
          <m:sup>
            <m:r>
              <m:rPr>
                <m:sty m:val="p"/>
              </m:rPr>
              <m:t>*</m:t>
            </m:r>
          </m:sup>
        </m:sSup>
      </m:oMath>
    </w:p>
    <w:p>
      <w:pPr>
        <w:pStyle w:val="BodyText"/>
        <w:spacing w:before="0" w:after="0" w:line="240" w:lineRule="auto"/>
        <w:ind w:firstLine="330"/>
        <w:jc w:val="both"/>
      </w:pPr>
      <w:r>
        <w:t xml:space="preserve">Data</w:t>
      </w:r>
      <w:r>
        <w:t xml:space="preserve"> </w:t>
      </w:r>
      <m:oMath>
        <m:r>
          <m:rPr>
            <m:sty m:val="bi"/>
          </m:rPr>
          <m:t>X</m:t>
        </m:r>
      </m:oMath>
      <w:r>
        <w:t xml:space="preserve">, seed</w:t>
      </w:r>
      <w:r>
        <w:t xml:space="preserve"> </w:t>
      </w:r>
      <m:oMath>
        <m:r>
          <m:t>s</m:t>
        </m:r>
      </m:oMath>
      <w:r>
        <w:t xml:space="preserve"> </w:t>
      </w:r>
      <m:oMath>
        <m:r>
          <m:rPr>
            <m:sty m:val="p"/>
          </m:rPr>
          <m:t>(</m:t>
        </m:r>
        <m:sSup>
          <m:e>
            <m:r>
              <m:rPr>
                <m:sty m:val="bi"/>
              </m:rPr>
              <m:t>θ</m:t>
            </m:r>
          </m:e>
          <m:sup>
            <m:r>
              <m:rPr>
                <m:sty m:val="p"/>
              </m:rPr>
              <m:t>*</m:t>
            </m:r>
          </m:sup>
        </m:sSup>
        <m:r>
          <m:rPr>
            <m:sty m:val="p"/>
          </m:rPr>
          <m:t>,</m:t>
        </m:r>
        <m:sSup>
          <m:e>
            <m:r>
              <m:rPr>
                <m:nor/>
                <m:sty m:val="p"/>
              </m:rPr>
              <m:t>rep</m:t>
            </m:r>
          </m:e>
          <m:sup>
            <m:r>
              <m:rPr>
                <m:sty m:val="p"/>
              </m:rPr>
              <m:t>*</m:t>
            </m:r>
          </m:sup>
        </m:sSup>
        <m:r>
          <m:rPr>
            <m:sty m:val="p"/>
          </m:rPr>
          <m:t>)</m:t>
        </m:r>
      </m:oMath>
      <w:r>
        <w:t xml:space="preserve"> </w:t>
      </w:r>
      <w:r>
        <w:rPr>
          <w:b/>
          <w:bCs/>
        </w:rPr>
        <w:t xml:space="preserve">Stage 1: RepScan</w:t>
      </w:r>
      <w:r>
        <w:t xml:space="preserve"> </w:t>
      </w:r>
      <m:oMath>
        <m:sSub>
          <m:e>
            <m:r>
              <m:rPr>
                <m:sty m:val="bi"/>
              </m:rPr>
              <m:t>Z</m:t>
            </m:r>
          </m:e>
          <m:sub>
            <m:r>
              <m:t>r</m:t>
            </m:r>
          </m:sub>
        </m:sSub>
        <m:r>
          <m:rPr>
            <m:sty m:val="p"/>
          </m:rPr>
          <m:t>←</m:t>
        </m:r>
      </m:oMath>
      <w:r>
        <w:t xml:space="preserve"> </w:t>
      </w:r>
      <w:r>
        <w:t xml:space="preserve">ComputeRep</w:t>
      </w:r>
      <m:oMath>
        <m:r>
          <m:rPr>
            <m:sty m:val="p"/>
          </m:rPr>
          <m:t>(</m:t>
        </m:r>
        <m:r>
          <m:rPr>
            <m:sty m:val="bi"/>
          </m:rPr>
          <m:t>X</m:t>
        </m:r>
        <m:r>
          <m:rPr>
            <m:sty m:val="p"/>
          </m:rPr>
          <m:t>,</m:t>
        </m:r>
        <m:r>
          <m:rPr>
            <m:nor/>
            <m:sty m:val="p"/>
          </m:rPr>
          <m:t>rep</m:t>
        </m:r>
        <m:r>
          <m:rPr>
            <m:sty m:val="p"/>
          </m:rPr>
          <m:t>,</m:t>
        </m:r>
        <m:r>
          <m:t>s</m:t>
        </m:r>
        <m:r>
          <m:rPr>
            <m:sty m:val="p"/>
          </m:rPr>
          <m:t>)</m:t>
        </m:r>
      </m:oMath>
      <w:r>
        <w:t xml:space="preserve"> </w:t>
      </w:r>
      <w:r>
        <w:t xml:space="preserve">Score</w:t>
      </w:r>
      <m:oMath>
        <m:sSub>
          <m:e>
            <m:r>
              <m:t>​</m:t>
            </m:r>
          </m:e>
          <m:sub>
            <m:r>
              <m:t>r</m:t>
            </m:r>
          </m:sub>
        </m:sSub>
        <m:r>
          <m:rPr>
            <m:sty m:val="p"/>
          </m:rPr>
          <m:t>←</m:t>
        </m:r>
        <m:r>
          <m:t>0.30</m:t>
        </m:r>
        <m:r>
          <m:rPr>
            <m:nor/>
            <m:sty m:val="p"/>
          </m:rPr>
          <m:t>MOD</m:t>
        </m:r>
        <m:r>
          <m:rPr>
            <m:sty m:val="p"/>
          </m:rPr>
          <m:t>+</m:t>
        </m:r>
        <m:r>
          <m:t>0.40</m:t>
        </m:r>
        <m:r>
          <m:rPr>
            <m:nor/>
            <m:sty m:val="p"/>
          </m:rPr>
          <m:t>SIL</m:t>
        </m:r>
        <m:r>
          <m:rPr>
            <m:sty m:val="p"/>
          </m:rPr>
          <m:t>+</m:t>
        </m:r>
        <m:r>
          <m:t>0.30</m:t>
        </m:r>
        <m:r>
          <m:rPr>
            <m:nor/>
            <m:sty m:val="p"/>
          </m:rPr>
          <m:t>CH</m:t>
        </m:r>
      </m:oMath>
      <w:r>
        <w:t xml:space="preserve"> </w:t>
      </w:r>
      <w:r>
        <w:t xml:space="preserve">rep</w:t>
      </w:r>
      <m:oMath>
        <m:sSup>
          <m:e>
            <m:r>
              <m:t>​</m:t>
            </m:r>
          </m:e>
          <m:sup>
            <m:r>
              <m:rPr>
                <m:sty m:val="p"/>
              </m:rPr>
              <m:t>*</m:t>
            </m:r>
          </m:sup>
        </m:sSup>
        <m:r>
          <m:rPr>
            <m:sty m:val="p"/>
          </m:rPr>
          <m:t>←</m:t>
        </m:r>
        <m:r>
          <m:rPr>
            <m:sty m:val="p"/>
          </m:rPr>
          <m:t>arg</m:t>
        </m:r>
        <m:r>
          <m:rPr>
            <m:sty m:val="p"/>
          </m:rPr>
          <m:t>max</m:t>
        </m:r>
      </m:oMath>
      <w:r>
        <w:t xml:space="preserve"> </w:t>
      </w:r>
      <w:r>
        <w:t xml:space="preserve">Score</w:t>
      </w:r>
      <m:oMath>
        <m:sSub>
          <m:e>
            <m:r>
              <m:t>​</m:t>
            </m:r>
          </m:e>
          <m:sub>
            <m:r>
              <m:t>r</m:t>
            </m:r>
          </m:sub>
        </m:sSub>
      </m:oMath>
      <w:r>
        <w:t xml:space="preserve">;</w:t>
      </w:r>
      <w:r>
        <w:t xml:space="preserve"> </w:t>
      </w:r>
      <m:oMath>
        <m:sSup>
          <m:e>
            <m:r>
              <m:rPr>
                <m:sty m:val="bi"/>
              </m:rPr>
              <m:t>Z</m:t>
            </m:r>
          </m:e>
          <m:sup>
            <m:r>
              <m:rPr>
                <m:sty m:val="p"/>
              </m:rPr>
              <m:t>*</m:t>
            </m:r>
          </m:sup>
        </m:sSup>
        <m:r>
          <m:rPr>
            <m:sty m:val="p"/>
          </m:rPr>
          <m:t>←</m:t>
        </m:r>
        <m:sSub>
          <m:e>
            <m:r>
              <m:rPr>
                <m:sty m:val="bi"/>
              </m:rPr>
              <m:t>Z</m:t>
            </m:r>
          </m:e>
          <m:sub>
            <m:r>
              <m:t>r</m:t>
            </m:r>
            <m:r>
              <m:t>e</m:t>
            </m:r>
            <m:sSup>
              <m:e>
                <m:r>
                  <m:t>p</m:t>
                </m:r>
              </m:e>
              <m:sup>
                <m:r>
                  <m:rPr>
                    <m:sty m:val="p"/>
                  </m:rPr>
                  <m:t>*</m:t>
                </m:r>
              </m:sup>
            </m:sSup>
          </m:sub>
        </m:sSub>
      </m:oMath>
      <w:r>
        <w:t xml:space="preserve"> </w:t>
      </w:r>
      <w:r>
        <w:rPr>
          <w:b/>
          <w:bCs/>
        </w:rPr>
        <w:t xml:space="preserve">Stage 2: Multi-Restart DE on</w:t>
      </w:r>
      <w:r>
        <w:rPr>
          <w:b/>
          <w:bCs/>
        </w:rPr>
        <w:t xml:space="preserve"> </w:t>
      </w:r>
      <m:oMath>
        <m:sSup>
          <m:e>
            <m:r>
              <m:rPr>
                <m:sty m:val="bi"/>
              </m:rPr>
              <m:t>Z</m:t>
            </m:r>
          </m:e>
          <m:sup>
            <m:r>
              <m:rPr>
                <m:sty m:val="p"/>
              </m:rPr>
              <m:t>*</m:t>
            </m:r>
          </m:sup>
        </m:sSup>
      </m:oMath>
      <w:r>
        <w:t xml:space="preserve"> </w:t>
      </w:r>
      <w:r>
        <w:t xml:space="preserve">Init</w:t>
      </w:r>
      <w:r>
        <w:t xml:space="preserve"> </w:t>
      </w:r>
      <m:oMath>
        <m:r>
          <m:t>P</m:t>
        </m:r>
      </m:oMath>
      <w:r>
        <w:t xml:space="preserve"> </w:t>
      </w:r>
      <w:r>
        <w:t xml:space="preserve">via Latin Hypercube Sampling</w:t>
      </w:r>
      <w:r>
        <w:t xml:space="preserve"> </w:t>
      </w:r>
      <w:r>
        <w:t xml:space="preserve">Run DE for</w:t>
      </w:r>
      <w:r>
        <w:t xml:space="preserve"> </w:t>
      </w:r>
      <m:oMath>
        <m:r>
          <m:t>G</m:t>
        </m:r>
      </m:oMath>
      <w:r>
        <w:t xml:space="preserve"> </w:t>
      </w:r>
      <w:r>
        <w:t xml:space="preserve">generations</w:t>
      </w:r>
      <w:r>
        <w:t xml:space="preserve"> </w:t>
      </w:r>
      <w:r>
        <w:t xml:space="preserve">Refine best with Nelder–Mead</w:t>
      </w:r>
      <w:r>
        <w:t xml:space="preserve"> </w:t>
      </w:r>
      <m:oMath>
        <m:r>
          <m:rPr>
            <m:sty m:val="p"/>
          </m:rPr>
          <m:t>arg</m:t>
        </m:r>
        <m:r>
          <m:rPr>
            <m:sty m:val="p"/>
          </m:rPr>
          <m:t>min</m:t>
        </m:r>
      </m:oMath>
      <w:r>
        <w:t xml:space="preserve"> </w:t>
      </w:r>
      <w:r>
        <w:t xml:space="preserve">fitness over restarts; rep</w:t>
      </w:r>
      <m:oMath>
        <m:sSup>
          <m:e>
            <m:r>
              <m:t>​</m:t>
            </m:r>
          </m:e>
          <m:sup>
            <m:r>
              <m:rPr>
                <m:sty m:val="p"/>
              </m:rPr>
              <m:t>*</m:t>
            </m:r>
          </m:sup>
        </m:sSup>
      </m:oMath>
    </w:p>
    <w:p>
      <w:pPr>
        <w:pStyle w:val="BodyText"/>
        <w:spacing w:before="0" w:after="0" w:line="240" w:lineRule="auto"/>
        <w:ind w:firstLine="330"/>
        <w:jc w:val="both"/>
      </w:pPr>
      <w:r>
        <w:t xml:space="preserve">Data</w:t>
      </w:r>
      <w:r>
        <w:t xml:space="preserve"> </w:t>
      </w:r>
      <m:oMath>
        <m:r>
          <m:rPr>
            <m:sty m:val="bi"/>
          </m:rPr>
          <m:t>X</m:t>
        </m:r>
      </m:oMath>
      <w:r>
        <w:t xml:space="preserve">, seed</w:t>
      </w:r>
      <w:r>
        <w:t xml:space="preserve"> </w:t>
      </w:r>
      <m:oMath>
        <m:r>
          <m:t>s</m:t>
        </m:r>
      </m:oMath>
      <w:r>
        <w:t xml:space="preserve"> </w:t>
      </w:r>
      <w:r>
        <w:t xml:space="preserve">Cluster labels</w:t>
      </w:r>
      <w:r>
        <w:t xml:space="preserve"> </w:t>
      </w:r>
      <m:oMath>
        <m:acc>
          <m:accPr>
            <m:chr m:val="̂"/>
          </m:accPr>
          <m:e>
            <m:r>
              <m:rPr>
                <m:sty m:val="bi"/>
              </m:rPr>
              <m:t>y</m:t>
            </m:r>
          </m:e>
        </m:acc>
      </m:oMath>
      <w:r>
        <w:t xml:space="preserve"> </w:t>
      </w:r>
      <w:r>
        <w:t xml:space="preserve">Reps</w:t>
      </w:r>
      <w:r>
        <w:t xml:space="preserve"> </w:t>
      </w:r>
      <m:oMath>
        <m:r>
          <m:rPr>
            <m:sty m:val="p"/>
          </m:rPr>
          <m:t>←</m:t>
        </m:r>
        <m:r>
          <m:rPr>
            <m:sty m:val="p"/>
          </m:rPr>
          <m:t>{</m:t>
        </m:r>
      </m:oMath>
      <w:r>
        <w:t xml:space="preserve">PCA, UMAP</w:t>
      </w:r>
      <m:oMath>
        <m:sSub>
          <m:e>
            <m:r>
              <m:t>​</m:t>
            </m:r>
          </m:e>
          <m:sub>
            <m:r>
              <m:t>10</m:t>
            </m:r>
            <m:r>
              <m:rPr>
                <m:sty m:val="p"/>
              </m:rPr>
              <m:t>,</m:t>
            </m:r>
            <m:r>
              <m:t>15</m:t>
            </m:r>
            <m:r>
              <m:rPr>
                <m:sty m:val="p"/>
              </m:rPr>
              <m:t>,</m:t>
            </m:r>
            <m:r>
              <m:t>30</m:t>
            </m:r>
          </m:sub>
        </m:sSub>
      </m:oMath>
      <w:r>
        <w:t xml:space="preserve">, t-SNE</w:t>
      </w:r>
      <m:oMath>
        <m:r>
          <m:rPr>
            <m:sty m:val="p"/>
          </m:rPr>
          <m:t>}</m:t>
        </m:r>
      </m:oMath>
      <w:r>
        <w:t xml:space="preserve"> </w:t>
      </w:r>
      <m:oMath>
        <m:r>
          <m:t>K</m:t>
        </m:r>
        <m:r>
          <m:rPr>
            <m:sty m:val="p"/>
          </m:rPr>
          <m:t>←</m:t>
        </m:r>
        <m:r>
          <m:rPr>
            <m:sty m:val="p"/>
          </m:rPr>
          <m:t>{</m:t>
        </m:r>
        <m:r>
          <m:t>10</m:t>
        </m:r>
        <m:r>
          <m:rPr>
            <m:sty m:val="p"/>
          </m:rPr>
          <m:t>,</m:t>
        </m:r>
        <m:r>
          <m:t>20</m:t>
        </m:r>
        <m:r>
          <m:rPr>
            <m:sty m:val="p"/>
          </m:rPr>
          <m:t>,</m:t>
        </m:r>
        <m:r>
          <m:t>35</m:t>
        </m:r>
        <m:r>
          <m:rPr>
            <m:sty m:val="p"/>
          </m:rPr>
          <m:t>,</m:t>
        </m:r>
        <m:r>
          <m:t>50</m:t>
        </m:r>
        <m:r>
          <m:rPr>
            <m:sty m:val="p"/>
          </m:rPr>
          <m:t>}</m:t>
        </m:r>
      </m:oMath>
      <w:r>
        <w:t xml:space="preserve">;</w:t>
      </w:r>
      <w:r>
        <w:t xml:space="preserve"> </w:t>
      </w:r>
      <m:oMath>
        <m:r>
          <m:t>R</m:t>
        </m:r>
        <m:r>
          <m:rPr>
            <m:sty m:val="p"/>
          </m:rPr>
          <m:t>←</m:t>
        </m:r>
        <m:r>
          <m:rPr>
            <m:sty m:val="p"/>
          </m:rPr>
          <m:t>{</m:t>
        </m:r>
        <m:r>
          <m:t>0.1</m:t>
        </m:r>
        <m:r>
          <m:rPr>
            <m:sty m:val="p"/>
          </m:rPr>
          <m:t>,</m:t>
        </m:r>
        <m:r>
          <m:t>0.25</m:t>
        </m:r>
        <m:r>
          <m:rPr>
            <m:sty m:val="p"/>
          </m:rPr>
          <m:t>,</m:t>
        </m:r>
        <m:r>
          <m:t>0.5</m:t>
        </m:r>
        <m:r>
          <m:rPr>
            <m:sty m:val="p"/>
          </m:rPr>
          <m:t>}</m:t>
        </m:r>
      </m:oMath>
      <w:r>
        <w:t xml:space="preserve"> </w:t>
      </w:r>
      <w:r>
        <w:t xml:space="preserve">results</w:t>
      </w:r>
      <w:r>
        <w:t xml:space="preserve"> </w:t>
      </w:r>
      <m:oMath>
        <m:r>
          <m:rPr>
            <m:sty m:val="p"/>
          </m:rPr>
          <m:t>←</m:t>
        </m:r>
        <m:r>
          <m:rPr>
            <m:sty m:val="p"/>
          </m:rPr>
          <m:t>∅</m:t>
        </m:r>
      </m:oMath>
      <w:r>
        <w:t xml:space="preserve"> </w:t>
      </w:r>
      <m:oMath>
        <m:r>
          <m:rPr>
            <m:sty m:val="bi"/>
          </m:rPr>
          <m:t>Z</m:t>
        </m:r>
        <m:r>
          <m:rPr>
            <m:sty m:val="p"/>
          </m:rPr>
          <m:t>←</m:t>
        </m:r>
      </m:oMath>
      <w:r>
        <w:t xml:space="preserve"> </w:t>
      </w:r>
      <w:r>
        <w:t xml:space="preserve">ComputeRep</w:t>
      </w:r>
      <m:oMath>
        <m:r>
          <m:rPr>
            <m:sty m:val="p"/>
          </m:rPr>
          <m:t>(</m:t>
        </m:r>
        <m:r>
          <m:rPr>
            <m:sty m:val="bi"/>
          </m:rPr>
          <m:t>X</m:t>
        </m:r>
        <m:r>
          <m:rPr>
            <m:sty m:val="p"/>
          </m:rPr>
          <m:t>,</m:t>
        </m:r>
        <m:r>
          <m:rPr>
            <m:nor/>
            <m:sty m:val="p"/>
          </m:rPr>
          <m:t>rep</m:t>
        </m:r>
        <m:r>
          <m:rPr>
            <m:sty m:val="p"/>
          </m:rPr>
          <m:t>,</m:t>
        </m:r>
        <m:r>
          <m:t>s</m:t>
        </m:r>
        <m:r>
          <m:rPr>
            <m:sty m:val="p"/>
          </m:rPr>
          <m:t>)</m:t>
        </m:r>
      </m:oMath>
      <w:r>
        <w:t xml:space="preserve"> </w:t>
      </w:r>
      <w:r>
        <w:t xml:space="preserve">Build SNN graph with</w:t>
      </w:r>
      <w:r>
        <w:t xml:space="preserve"> </w:t>
      </w:r>
      <m:oMath>
        <m:sSub>
          <m:e>
            <m:r>
              <m:t>w</m:t>
            </m:r>
          </m:e>
          <m:sub>
            <m:r>
              <m:t>i</m:t>
            </m:r>
            <m:r>
              <m:t>j</m:t>
            </m:r>
          </m:sub>
        </m:sSub>
        <m:r>
          <m:rPr>
            <m:sty m:val="p"/>
          </m:rPr>
          <m:t>=</m:t>
        </m:r>
        <m:r>
          <m:rPr>
            <m:sty m:val="p"/>
          </m:rPr>
          <m:t>|</m:t>
        </m:r>
        <m:sSub>
          <m:e>
            <m:r>
              <m:t>N</m:t>
            </m:r>
          </m:e>
          <m:sub>
            <m:r>
              <m:t>k</m:t>
            </m:r>
          </m:sub>
        </m:sSub>
        <m:r>
          <m:rPr>
            <m:sty m:val="p"/>
          </m:rPr>
          <m:t>(</m:t>
        </m:r>
        <m:r>
          <m:t>i</m:t>
        </m:r>
        <m:r>
          <m:rPr>
            <m:sty m:val="p"/>
          </m:rPr>
          <m:t>)</m:t>
        </m:r>
        <m:r>
          <m:rPr>
            <m:sty m:val="p"/>
          </m:rPr>
          <m:t>∩</m:t>
        </m:r>
        <m:sSub>
          <m:e>
            <m:r>
              <m:t>N</m:t>
            </m:r>
          </m:e>
          <m:sub>
            <m:r>
              <m:t>k</m:t>
            </m:r>
          </m:sub>
        </m:sSub>
        <m:r>
          <m:rPr>
            <m:sty m:val="p"/>
          </m:rPr>
          <m:t>(</m:t>
        </m:r>
        <m:r>
          <m:t>j</m:t>
        </m:r>
        <m:r>
          <m:rPr>
            <m:sty m:val="p"/>
          </m:rPr>
          <m:t>)</m:t>
        </m:r>
        <m:r>
          <m:rPr>
            <m:sty m:val="p"/>
          </m:rPr>
          <m:t>|</m:t>
        </m:r>
        <m:r>
          <m:rPr>
            <m:sty m:val="p"/>
          </m:rPr>
          <m:t>/</m:t>
        </m:r>
        <m:r>
          <m:t>k</m:t>
        </m:r>
      </m:oMath>
      <w:r>
        <w:t xml:space="preserve"> </w:t>
      </w:r>
      <m:oMath>
        <m:sSub>
          <m:e>
            <m:acc>
              <m:accPr>
                <m:chr m:val="̂"/>
              </m:accPr>
              <m:e>
                <m:r>
                  <m:rPr>
                    <m:sty m:val="bi"/>
                  </m:rPr>
                  <m:t>y</m:t>
                </m:r>
              </m:e>
            </m:acc>
          </m:e>
          <m:sub>
            <m:r>
              <m:t>i</m:t>
            </m:r>
          </m:sub>
        </m:sSub>
        <m:r>
          <m:rPr>
            <m:sty m:val="p"/>
          </m:rPr>
          <m:t>←</m:t>
        </m:r>
      </m:oMath>
      <w:r>
        <w:t xml:space="preserve"> </w:t>
      </w:r>
      <w:r>
        <w:t xml:space="preserve">Leiden</w:t>
      </w:r>
      <m:oMath>
        <m:r>
          <m:rPr>
            <m:sty m:val="p"/>
          </m:rPr>
          <m:t>(</m:t>
        </m:r>
        <m:sSub>
          <m:e>
            <m:r>
              <m:t>G</m:t>
            </m:r>
          </m:e>
          <m:sub>
            <m:r>
              <m:rPr>
                <m:nor/>
                <m:sty m:val="p"/>
              </m:rPr>
              <m:t>SNN</m:t>
            </m:r>
          </m:sub>
        </m:sSub>
        <m:r>
          <m:rPr>
            <m:sty m:val="p"/>
          </m:rPr>
          <m:t>,</m:t>
        </m:r>
        <m:r>
          <m:t>r</m:t>
        </m:r>
        <m:r>
          <m:rPr>
            <m:sty m:val="p"/>
          </m:rPr>
          <m:t>)</m:t>
        </m:r>
      </m:oMath>
      <w:r>
        <w:t xml:space="preserve"> </w:t>
      </w:r>
      <m:oMath>
        <m:sSub>
          <m:e>
            <m:r>
              <m:t>s</m:t>
            </m:r>
          </m:e>
          <m:sub>
            <m:r>
              <m:t>i</m:t>
            </m:r>
          </m:sub>
        </m:sSub>
        <m:r>
          <m:rPr>
            <m:sty m:val="p"/>
          </m:rPr>
          <m:t>←</m:t>
        </m:r>
        <m:r>
          <m:t>0.35</m:t>
        </m:r>
        <m:r>
          <m:rPr>
            <m:nor/>
            <m:sty m:val="p"/>
          </m:rPr>
          <m:t>MOD</m:t>
        </m:r>
        <m:r>
          <m:rPr>
            <m:sty m:val="p"/>
          </m:rPr>
          <m:t>+</m:t>
        </m:r>
        <m:r>
          <m:t>0.40</m:t>
        </m:r>
        <m:r>
          <m:rPr>
            <m:nor/>
            <m:sty m:val="p"/>
          </m:rPr>
          <m:t>SIL</m:t>
        </m:r>
        <m:r>
          <m:rPr>
            <m:sty m:val="p"/>
          </m:rPr>
          <m:t>+</m:t>
        </m:r>
        <m:r>
          <m:t>0.25</m:t>
        </m:r>
        <m:r>
          <m:rPr>
            <m:nor/>
            <m:sty m:val="p"/>
          </m:rPr>
          <m:t>BAL</m:t>
        </m:r>
      </m:oMath>
      <w:r>
        <w:t xml:space="preserve"> </w:t>
      </w:r>
      <w:r>
        <w:t xml:space="preserve">results</w:t>
      </w:r>
      <w:r>
        <w:t xml:space="preserve"> </w:t>
      </w:r>
      <m:oMath>
        <m:r>
          <m:rPr>
            <m:sty m:val="p"/>
          </m:rPr>
          <m:t>←</m:t>
        </m:r>
      </m:oMath>
      <w:r>
        <w:t xml:space="preserve"> </w:t>
      </w:r>
      <w:r>
        <w:t xml:space="preserve">results</w:t>
      </w:r>
      <w:r>
        <w:t xml:space="preserve"> </w:t>
      </w:r>
      <m:oMath>
        <m:r>
          <m:rPr>
            <m:sty m:val="p"/>
          </m:rPr>
          <m:t>∪</m:t>
        </m:r>
        <m:r>
          <m:t> </m:t>
        </m:r>
        <m:r>
          <m:rPr>
            <m:sty m:val="p"/>
          </m:rPr>
          <m:t>{</m:t>
        </m:r>
        <m:r>
          <m:rPr>
            <m:sty m:val="p"/>
          </m:rPr>
          <m:t>(</m:t>
        </m:r>
        <m:sSub>
          <m:e>
            <m:acc>
              <m:accPr>
                <m:chr m:val="̂"/>
              </m:accPr>
              <m:e>
                <m:r>
                  <m:rPr>
                    <m:sty m:val="bi"/>
                  </m:rPr>
                  <m:t>y</m:t>
                </m:r>
              </m:e>
            </m:acc>
          </m:e>
          <m:sub>
            <m:r>
              <m:t>i</m:t>
            </m:r>
          </m:sub>
        </m:sSub>
        <m:r>
          <m:rPr>
            <m:sty m:val="p"/>
          </m:rPr>
          <m:t>,</m:t>
        </m:r>
        <m:sSub>
          <m:e>
            <m:r>
              <m:t>s</m:t>
            </m:r>
          </m:e>
          <m:sub>
            <m:r>
              <m:t>i</m:t>
            </m:r>
          </m:sub>
        </m:sSub>
        <m:r>
          <m:rPr>
            <m:sty m:val="p"/>
          </m:rPr>
          <m:t>)</m:t>
        </m:r>
        <m:r>
          <m:rPr>
            <m:sty m:val="p"/>
          </m:rPr>
          <m:t>}</m:t>
        </m:r>
      </m:oMath>
      <w:r>
        <w:t xml:space="preserve"> </w:t>
      </w:r>
      <m:oMath>
        <m:r>
          <m:rPr>
            <m:sty m:val="p"/>
          </m:rPr>
          <m:t>arg</m:t>
        </m:r>
        <m:sSub>
          <m:e>
            <m:r>
              <m:rPr>
                <m:sty m:val="p"/>
              </m:rPr>
              <m:t>max</m:t>
            </m:r>
          </m:e>
          <m:sub>
            <m:r>
              <m:t>i</m:t>
            </m:r>
          </m:sub>
        </m:sSub>
        <m:sSub>
          <m:e>
            <m:r>
              <m:t>s</m:t>
            </m:r>
          </m:e>
          <m:sub>
            <m:r>
              <m:t>i</m:t>
            </m:r>
          </m:sub>
        </m:sSub>
      </m:oMath>
    </w:p>
    <w:bookmarkEnd w:id="49"/>
    <w:bookmarkEnd w:id="50"/>
    <w:bookmarkStart w:id="139" w:name="sec:exp"/>
    <w:p>
      <w:pPr>
        <w:pStyle w:val="Heading1"/>
        <w:jc w:val="left"/>
      </w:pPr>
      <w:r>
        <w:rPr>
          <w:rFonts w:ascii="Times New Roman" w:hAnsi="Times New Roman" w:cs="Times New Roman"/>
          <w:b/>
          <w:color w:val="000000"/>
          <w:sz w:val="24"/>
        </w:rPr>
        <w:t>4.  Experimental Evaluation</w:t>
      </w:r>
    </w:p>
    <w:bookmarkStart w:id="52" w:name="datasets"/>
    <w:p>
      <w:pPr>
        <w:pStyle w:val="Heading2"/>
        <w:jc w:val="left"/>
      </w:pPr>
      <w:r>
        <w:rPr>
          <w:rFonts w:ascii="Times New Roman" w:hAnsi="Times New Roman" w:cs="Times New Roman"/>
          <w:b/>
          <w:color w:val="000000"/>
          <w:sz w:val="22"/>
        </w:rPr>
        <w:t>Datasets</w:t>
      </w:r>
    </w:p>
    <w:p>
      <w:pPr>
        <w:pStyle w:val="FirstParagraph"/>
        <w:spacing w:before="0" w:after="0" w:line="240" w:lineRule="auto"/>
        <w:ind w:firstLine="330"/>
        <w:jc w:val="both"/>
      </w:pPr>
      <w:r>
        <w:t xml:space="preserve">DEAC is evaluated on 12 public benchmarks that span a wide range of</w:t>
      </w:r>
      <w:r>
        <w:t xml:space="preserve"> </w:t>
      </w:r>
      <m:oMath>
        <m:r>
          <m:t>n</m:t>
        </m:r>
      </m:oMath>
      <w:r>
        <w:t xml:space="preserve"> </w:t>
      </w:r>
      <w:r>
        <w:t xml:space="preserve">and</w:t>
      </w:r>
      <w:r>
        <w:t xml:space="preserve"> </w:t>
      </w:r>
      <m:oMath>
        <m:r>
          <m:t>d</m:t>
        </m:r>
      </m:oMath>
      <w:r>
        <w:t xml:space="preserve"> </w:t>
      </w:r>
      <w:r>
        <w:t xml:space="preserve">(Table </w:t>
      </w:r>
      <w:hyperlink w:anchor="tab:datasets">
        <w:r>
          <w:rPr>
            <w:rStyle w:val="Hyperlink"/>
          </w:rPr>
          <w:t xml:space="preserve">4</w:t>
        </w:r>
      </w:hyperlink>
      <w:r>
        <w:t xml:space="preserve">). These datasets also determine the protocol below.</w:t>
      </w:r>
    </w:p>
    <w:bookmarkStart w:id="51" w:name="tab:datasets"/>
    <w:p>
      <w:pPr>
        <w:pStyle w:val="TableCaption"/>
        <w:jc w:val="center"/>
      </w:pPr>
      <w:r>
        <w:rPr>
          <w:rFonts w:ascii="Times New Roman" w:hAnsi="Times New Roman" w:cs="Times New Roman"/>
          <w:color w:val="000000"/>
          <w:sz w:val="20"/>
        </w:rPr>
        <w:t xml:space="preserve">Table 4. </w:t>
      </w:r>
      <w:r>
        <w:rPr>
          <w:rFonts w:ascii="Times New Roman" w:hAnsi="Times New Roman" w:cs="Times New Roman"/>
          <w:color w:val="000000"/>
          <w:sz w:val="20"/>
        </w:rPr>
        <w:t xml:space="preserve">Benchmark datasets.</w:t>
      </w:r>
    </w:p>
    <w:tbl>
      <w:tblPr>
        <w:tblStyle w:val="Table"/>
        <w:tblW w:type="dxa" w:w="4595"/>
        <w:tblLook w:firstRow="1" w:lastRow="0" w:firstColumn="0" w:lastColumn="0" w:noHBand="0" w:noVBand="0" w:val="0020"/>
        <w:tblCaption w:val="Benchmark datasets."/>
        <w:tblLayout w:type="fixed"/>
      </w:tblPr>
      <w:tblGrid>
        <w:gridCol w:w="919"/>
        <w:gridCol w:w="919"/>
        <w:gridCol w:w="919"/>
        <w:gridCol w:w="919"/>
        <w:gridCol w:w="919"/>
      </w:tblGrid>
      <w:tr>
        <w:trPr>
          <w:tblHeader w:val="on"/>
        </w:trPr>
        <w:tc>
          <w:tcPr>
            <w:tcW w:type="dxa" w:w="919"/>
          </w:tcPr>
          <w:p>
            <w:pPr>
              <w:pStyle w:val="Compact"/>
              <w:jc w:val="left"/>
            </w:pPr>
            <w:r>
              <w:rPr>
                <w:sz w:val="18"/>
                <w:szCs w:val="18"/>
              </w:rPr>
              <w:t xml:space="preserve">Dataset</w:t>
            </w:r>
          </w:p>
        </w:tc>
        <w:tc>
          <w:tcPr>
            <w:tcW w:type="dxa" w:w="919"/>
          </w:tcPr>
          <w:p>
            <w:pPr>
              <w:pStyle w:val="Compact"/>
              <w:jc w:val="right"/>
            </w:pPr>
            <m:oMath>
              <m:r>
                <m:t>n</m:t>
              </m:r>
            </m:oMath>
          </w:p>
        </w:tc>
        <w:tc>
          <w:tcPr>
            <w:tcW w:type="dxa" w:w="919"/>
          </w:tcPr>
          <w:p>
            <w:pPr>
              <w:pStyle w:val="Compact"/>
              <w:jc w:val="right"/>
            </w:pPr>
            <m:oMath>
              <m:r>
                <m:t>d</m:t>
              </m:r>
            </m:oMath>
          </w:p>
        </w:tc>
        <w:tc>
          <w:tcPr>
            <w:tcW w:type="dxa" w:w="919"/>
          </w:tcPr>
          <w:p>
            <w:pPr>
              <w:pStyle w:val="Compact"/>
              <w:jc w:val="right"/>
            </w:pPr>
            <m:oMath>
              <m:sSub>
                <m:e>
                  <m:r>
                    <m:t>C</m:t>
                  </m:r>
                </m:e>
                <m:sub>
                  <m:r>
                    <m:rPr>
                      <m:nor/>
                      <m:sty m:val="p"/>
                    </m:rPr>
                    <m:t>true</m:t>
                  </m:r>
                </m:sub>
              </m:sSub>
            </m:oMath>
          </w:p>
        </w:tc>
        <w:tc>
          <w:tcPr>
            <w:tcW w:type="dxa" w:w="919"/>
          </w:tcPr>
          <w:p>
            <w:pPr>
              <w:pStyle w:val="Compact"/>
              <w:jc w:val="left"/>
            </w:pPr>
            <w:r>
              <w:rPr>
                <w:sz w:val="18"/>
                <w:szCs w:val="18"/>
              </w:rPr>
              <w:t xml:space="preserve">Domain</w:t>
            </w:r>
          </w:p>
        </w:tc>
      </w:tr>
      <w:tr>
        <w:tc>
          <w:tcPr>
            <w:tcW w:type="dxa" w:w="919"/>
          </w:tcPr>
          <w:p>
            <w:pPr>
              <w:pStyle w:val="Compact"/>
              <w:jc w:val="left"/>
            </w:pPr>
            <w:r>
              <w:rPr>
                <w:sz w:val="18"/>
                <w:szCs w:val="18"/>
              </w:rPr>
              <w:t xml:space="preserve">Wine</w:t>
            </w:r>
          </w:p>
        </w:tc>
        <w:tc>
          <w:tcPr>
            <w:tcW w:type="dxa" w:w="919"/>
          </w:tcPr>
          <w:p>
            <w:pPr>
              <w:pStyle w:val="Compact"/>
              <w:jc w:val="right"/>
            </w:pPr>
            <w:r>
              <w:rPr>
                <w:sz w:val="18"/>
                <w:szCs w:val="18"/>
              </w:rPr>
              <w:t xml:space="preserve">178</w:t>
            </w:r>
          </w:p>
        </w:tc>
        <w:tc>
          <w:tcPr>
            <w:tcW w:type="dxa" w:w="919"/>
          </w:tcPr>
          <w:p>
            <w:pPr>
              <w:pStyle w:val="Compact"/>
              <w:jc w:val="right"/>
            </w:pPr>
            <w:r>
              <w:rPr>
                <w:sz w:val="18"/>
                <w:szCs w:val="18"/>
              </w:rPr>
              <w:t xml:space="preserve">13</w:t>
            </w:r>
          </w:p>
        </w:tc>
        <w:tc>
          <w:tcPr>
            <w:tcW w:type="dxa" w:w="919"/>
          </w:tcPr>
          <w:p>
            <w:pPr>
              <w:pStyle w:val="Compact"/>
              <w:jc w:val="right"/>
            </w:pPr>
            <w:r>
              <w:rPr>
                <w:sz w:val="18"/>
                <w:szCs w:val="18"/>
              </w:rPr>
              <w:t xml:space="preserve">3</w:t>
            </w:r>
          </w:p>
        </w:tc>
        <w:tc>
          <w:tcPr>
            <w:tcW w:type="dxa" w:w="919"/>
          </w:tcPr>
          <w:p>
            <w:pPr>
              <w:pStyle w:val="Compact"/>
              <w:jc w:val="left"/>
            </w:pPr>
            <w:r>
              <w:rPr>
                <w:sz w:val="18"/>
                <w:szCs w:val="18"/>
              </w:rPr>
              <w:t xml:space="preserve">Chemistry</w:t>
            </w:r>
          </w:p>
        </w:tc>
      </w:tr>
      <w:tr>
        <w:tc>
          <w:tcPr>
            <w:tcW w:type="dxa" w:w="919"/>
          </w:tcPr>
          <w:p>
            <w:pPr>
              <w:pStyle w:val="Compact"/>
              <w:jc w:val="left"/>
            </w:pPr>
            <w:r>
              <w:rPr>
                <w:sz w:val="18"/>
                <w:szCs w:val="18"/>
              </w:rPr>
              <w:t xml:space="preserve">Glass</w:t>
            </w:r>
          </w:p>
        </w:tc>
        <w:tc>
          <w:tcPr>
            <w:tcW w:type="dxa" w:w="919"/>
          </w:tcPr>
          <w:p>
            <w:pPr>
              <w:pStyle w:val="Compact"/>
              <w:jc w:val="right"/>
            </w:pPr>
            <w:r>
              <w:rPr>
                <w:sz w:val="18"/>
                <w:szCs w:val="18"/>
              </w:rPr>
              <w:t xml:space="preserve">214</w:t>
            </w:r>
          </w:p>
        </w:tc>
        <w:tc>
          <w:tcPr>
            <w:tcW w:type="dxa" w:w="919"/>
          </w:tcPr>
          <w:p>
            <w:pPr>
              <w:pStyle w:val="Compact"/>
              <w:jc w:val="right"/>
            </w:pPr>
            <w:r>
              <w:rPr>
                <w:sz w:val="18"/>
                <w:szCs w:val="18"/>
              </w:rPr>
              <w:t xml:space="preserve">9</w:t>
            </w:r>
          </w:p>
        </w:tc>
        <w:tc>
          <w:tcPr>
            <w:tcW w:type="dxa" w:w="919"/>
          </w:tcPr>
          <w:p>
            <w:pPr>
              <w:pStyle w:val="Compact"/>
              <w:jc w:val="right"/>
            </w:pPr>
            <w:r>
              <w:rPr>
                <w:sz w:val="18"/>
                <w:szCs w:val="18"/>
              </w:rPr>
              <w:t xml:space="preserve">6</w:t>
            </w:r>
          </w:p>
        </w:tc>
        <w:tc>
          <w:tcPr>
            <w:tcW w:type="dxa" w:w="919"/>
          </w:tcPr>
          <w:p>
            <w:pPr>
              <w:pStyle w:val="Compact"/>
              <w:jc w:val="left"/>
            </w:pPr>
            <w:r>
              <w:rPr>
                <w:sz w:val="18"/>
                <w:szCs w:val="18"/>
              </w:rPr>
              <w:t xml:space="preserve">Material</w:t>
            </w:r>
          </w:p>
        </w:tc>
      </w:tr>
      <w:tr>
        <w:tc>
          <w:tcPr>
            <w:tcW w:type="dxa" w:w="919"/>
          </w:tcPr>
          <w:p>
            <w:pPr>
              <w:pStyle w:val="Compact"/>
              <w:jc w:val="left"/>
            </w:pPr>
            <w:r>
              <w:rPr>
                <w:sz w:val="18"/>
                <w:szCs w:val="18"/>
              </w:rPr>
              <w:t xml:space="preserve">Olivetti</w:t>
            </w:r>
          </w:p>
        </w:tc>
        <w:tc>
          <w:tcPr>
            <w:tcW w:type="dxa" w:w="919"/>
          </w:tcPr>
          <w:p>
            <w:pPr>
              <w:pStyle w:val="Compact"/>
              <w:jc w:val="right"/>
            </w:pPr>
            <w:r>
              <w:rPr>
                <w:sz w:val="18"/>
                <w:szCs w:val="18"/>
              </w:rPr>
              <w:t xml:space="preserve">400</w:t>
            </w:r>
          </w:p>
        </w:tc>
        <w:tc>
          <w:tcPr>
            <w:tcW w:type="dxa" w:w="919"/>
          </w:tcPr>
          <w:p>
            <w:pPr>
              <w:pStyle w:val="Compact"/>
              <w:jc w:val="right"/>
            </w:pPr>
            <w:r>
              <w:rPr>
                <w:sz w:val="18"/>
                <w:szCs w:val="18"/>
              </w:rPr>
              <w:t xml:space="preserve">4096</w:t>
            </w:r>
          </w:p>
        </w:tc>
        <w:tc>
          <w:tcPr>
            <w:tcW w:type="dxa" w:w="919"/>
          </w:tcPr>
          <w:p>
            <w:pPr>
              <w:pStyle w:val="Compact"/>
              <w:jc w:val="right"/>
            </w:pPr>
            <w:r>
              <w:rPr>
                <w:sz w:val="18"/>
                <w:szCs w:val="18"/>
              </w:rPr>
              <w:t xml:space="preserve">40</w:t>
            </w:r>
          </w:p>
        </w:tc>
        <w:tc>
          <w:tcPr>
            <w:tcW w:type="dxa" w:w="919"/>
          </w:tcPr>
          <w:p>
            <w:pPr>
              <w:pStyle w:val="Compact"/>
              <w:jc w:val="left"/>
            </w:pPr>
            <w:r>
              <w:rPr>
                <w:sz w:val="18"/>
                <w:szCs w:val="18"/>
              </w:rPr>
              <w:t xml:space="preserve">Faces</w:t>
            </w:r>
          </w:p>
        </w:tc>
      </w:tr>
      <w:tr>
        <w:tc>
          <w:tcPr>
            <w:tcW w:type="dxa" w:w="919"/>
          </w:tcPr>
          <w:p>
            <w:pPr>
              <w:pStyle w:val="Compact"/>
              <w:jc w:val="left"/>
            </w:pPr>
            <w:r>
              <w:rPr>
                <w:sz w:val="18"/>
                <w:szCs w:val="18"/>
              </w:rPr>
              <w:t xml:space="preserve">CNAE-9</w:t>
            </w:r>
          </w:p>
        </w:tc>
        <w:tc>
          <w:tcPr>
            <w:tcW w:type="dxa" w:w="919"/>
          </w:tcPr>
          <w:p>
            <w:pPr>
              <w:pStyle w:val="Compact"/>
              <w:jc w:val="right"/>
            </w:pPr>
            <w:r>
              <w:rPr>
                <w:sz w:val="18"/>
                <w:szCs w:val="18"/>
              </w:rPr>
              <w:t xml:space="preserve">1080</w:t>
            </w:r>
          </w:p>
        </w:tc>
        <w:tc>
          <w:tcPr>
            <w:tcW w:type="dxa" w:w="919"/>
          </w:tcPr>
          <w:p>
            <w:pPr>
              <w:pStyle w:val="Compact"/>
              <w:jc w:val="right"/>
            </w:pPr>
            <w:r>
              <w:rPr>
                <w:sz w:val="18"/>
                <w:szCs w:val="18"/>
              </w:rPr>
              <w:t xml:space="preserve">856</w:t>
            </w:r>
          </w:p>
        </w:tc>
        <w:tc>
          <w:tcPr>
            <w:tcW w:type="dxa" w:w="919"/>
          </w:tcPr>
          <w:p>
            <w:pPr>
              <w:pStyle w:val="Compact"/>
              <w:jc w:val="right"/>
            </w:pPr>
            <w:r>
              <w:rPr>
                <w:sz w:val="18"/>
                <w:szCs w:val="18"/>
              </w:rPr>
              <w:t xml:space="preserve">9</w:t>
            </w:r>
          </w:p>
        </w:tc>
        <w:tc>
          <w:tcPr>
            <w:tcW w:type="dxa" w:w="919"/>
          </w:tcPr>
          <w:p>
            <w:pPr>
              <w:pStyle w:val="Compact"/>
              <w:jc w:val="left"/>
            </w:pPr>
            <w:r>
              <w:rPr>
                <w:sz w:val="18"/>
                <w:szCs w:val="18"/>
              </w:rPr>
              <w:t xml:space="preserve">Text</w:t>
            </w:r>
          </w:p>
        </w:tc>
      </w:tr>
      <w:tr>
        <w:tc>
          <w:tcPr>
            <w:tcW w:type="dxa" w:w="919"/>
          </w:tcPr>
          <w:p>
            <w:pPr>
              <w:pStyle w:val="Compact"/>
              <w:jc w:val="left"/>
            </w:pPr>
            <w:r>
              <w:rPr>
                <w:sz w:val="18"/>
                <w:szCs w:val="18"/>
              </w:rPr>
              <w:t xml:space="preserve">COIL-20</w:t>
            </w:r>
          </w:p>
        </w:tc>
        <w:tc>
          <w:tcPr>
            <w:tcW w:type="dxa" w:w="919"/>
          </w:tcPr>
          <w:p>
            <w:pPr>
              <w:pStyle w:val="Compact"/>
              <w:jc w:val="right"/>
            </w:pPr>
            <w:r>
              <w:rPr>
                <w:sz w:val="18"/>
                <w:szCs w:val="18"/>
              </w:rPr>
              <w:t xml:space="preserve">1440</w:t>
            </w:r>
          </w:p>
        </w:tc>
        <w:tc>
          <w:tcPr>
            <w:tcW w:type="dxa" w:w="919"/>
          </w:tcPr>
          <w:p>
            <w:pPr>
              <w:pStyle w:val="Compact"/>
              <w:jc w:val="right"/>
            </w:pPr>
            <w:r>
              <w:rPr>
                <w:sz w:val="18"/>
                <w:szCs w:val="18"/>
              </w:rPr>
              <w:t xml:space="preserve">1024</w:t>
            </w:r>
          </w:p>
        </w:tc>
        <w:tc>
          <w:tcPr>
            <w:tcW w:type="dxa" w:w="919"/>
          </w:tcPr>
          <w:p>
            <w:pPr>
              <w:pStyle w:val="Compact"/>
              <w:jc w:val="right"/>
            </w:pPr>
            <w:r>
              <w:rPr>
                <w:sz w:val="18"/>
                <w:szCs w:val="18"/>
              </w:rPr>
              <w:t xml:space="preserve">20</w:t>
            </w:r>
          </w:p>
        </w:tc>
        <w:tc>
          <w:tcPr>
            <w:tcW w:type="dxa" w:w="919"/>
          </w:tcPr>
          <w:p>
            <w:pPr>
              <w:pStyle w:val="Compact"/>
              <w:jc w:val="left"/>
            </w:pPr>
            <w:r>
              <w:rPr>
                <w:sz w:val="18"/>
                <w:szCs w:val="18"/>
              </w:rPr>
              <w:t xml:space="preserve">Images</w:t>
            </w:r>
          </w:p>
        </w:tc>
      </w:tr>
      <w:tr>
        <w:tc>
          <w:tcPr>
            <w:tcW w:type="dxa" w:w="919"/>
          </w:tcPr>
          <w:p>
            <w:pPr>
              <w:pStyle w:val="Compact"/>
              <w:jc w:val="left"/>
            </w:pPr>
            <w:r>
              <w:rPr>
                <w:sz w:val="18"/>
                <w:szCs w:val="18"/>
              </w:rPr>
              <w:t xml:space="preserve">Optdigits</w:t>
            </w:r>
          </w:p>
        </w:tc>
        <w:tc>
          <w:tcPr>
            <w:tcW w:type="dxa" w:w="919"/>
          </w:tcPr>
          <w:p>
            <w:pPr>
              <w:pStyle w:val="Compact"/>
              <w:jc w:val="right"/>
            </w:pPr>
            <w:r>
              <w:rPr>
                <w:sz w:val="18"/>
                <w:szCs w:val="18"/>
              </w:rPr>
              <w:t xml:space="preserve">1797</w:t>
            </w:r>
          </w:p>
        </w:tc>
        <w:tc>
          <w:tcPr>
            <w:tcW w:type="dxa" w:w="919"/>
          </w:tcPr>
          <w:p>
            <w:pPr>
              <w:pStyle w:val="Compact"/>
              <w:jc w:val="right"/>
            </w:pPr>
            <w:r>
              <w:rPr>
                <w:sz w:val="18"/>
                <w:szCs w:val="18"/>
              </w:rPr>
              <w:t xml:space="preserve">64</w:t>
            </w:r>
          </w:p>
        </w:tc>
        <w:tc>
          <w:tcPr>
            <w:tcW w:type="dxa" w:w="919"/>
          </w:tcPr>
          <w:p>
            <w:pPr>
              <w:pStyle w:val="Compact"/>
              <w:jc w:val="right"/>
            </w:pPr>
            <w:r>
              <w:rPr>
                <w:sz w:val="18"/>
                <w:szCs w:val="18"/>
              </w:rPr>
              <w:t xml:space="preserve">10</w:t>
            </w:r>
          </w:p>
        </w:tc>
        <w:tc>
          <w:tcPr>
            <w:tcW w:type="dxa" w:w="919"/>
          </w:tcPr>
          <w:p>
            <w:pPr>
              <w:pStyle w:val="Compact"/>
              <w:jc w:val="left"/>
            </w:pPr>
            <w:r>
              <w:rPr>
                <w:sz w:val="18"/>
                <w:szCs w:val="18"/>
              </w:rPr>
              <w:t xml:space="preserve">Digits</w:t>
            </w:r>
          </w:p>
        </w:tc>
      </w:tr>
      <w:tr>
        <w:tc>
          <w:tcPr>
            <w:tcW w:type="dxa" w:w="919"/>
          </w:tcPr>
          <w:p>
            <w:pPr>
              <w:pStyle w:val="Compact"/>
              <w:jc w:val="left"/>
            </w:pPr>
            <w:r>
              <w:rPr>
                <w:sz w:val="18"/>
                <w:szCs w:val="18"/>
              </w:rPr>
              <w:t xml:space="preserve">MFeat</w:t>
            </w:r>
          </w:p>
        </w:tc>
        <w:tc>
          <w:tcPr>
            <w:tcW w:type="dxa" w:w="919"/>
          </w:tcPr>
          <w:p>
            <w:pPr>
              <w:pStyle w:val="Compact"/>
              <w:jc w:val="right"/>
            </w:pPr>
            <w:r>
              <w:rPr>
                <w:sz w:val="18"/>
                <w:szCs w:val="18"/>
              </w:rPr>
              <w:t xml:space="preserve">2000</w:t>
            </w:r>
          </w:p>
        </w:tc>
        <w:tc>
          <w:tcPr>
            <w:tcW w:type="dxa" w:w="919"/>
          </w:tcPr>
          <w:p>
            <w:pPr>
              <w:pStyle w:val="Compact"/>
              <w:jc w:val="right"/>
            </w:pPr>
            <w:r>
              <w:rPr>
                <w:sz w:val="18"/>
                <w:szCs w:val="18"/>
              </w:rPr>
              <w:t xml:space="preserve">649</w:t>
            </w:r>
          </w:p>
        </w:tc>
        <w:tc>
          <w:tcPr>
            <w:tcW w:type="dxa" w:w="919"/>
          </w:tcPr>
          <w:p>
            <w:pPr>
              <w:pStyle w:val="Compact"/>
              <w:jc w:val="right"/>
            </w:pPr>
            <w:r>
              <w:rPr>
                <w:sz w:val="18"/>
                <w:szCs w:val="18"/>
              </w:rPr>
              <w:t xml:space="preserve">10</w:t>
            </w:r>
          </w:p>
        </w:tc>
        <w:tc>
          <w:tcPr>
            <w:tcW w:type="dxa" w:w="919"/>
          </w:tcPr>
          <w:p>
            <w:pPr>
              <w:pStyle w:val="Compact"/>
              <w:jc w:val="left"/>
            </w:pPr>
            <w:r>
              <w:rPr>
                <w:sz w:val="18"/>
                <w:szCs w:val="18"/>
              </w:rPr>
              <w:t xml:space="preserve">Digits</w:t>
            </w:r>
          </w:p>
        </w:tc>
      </w:tr>
      <w:tr>
        <w:tc>
          <w:tcPr>
            <w:tcW w:type="dxa" w:w="919"/>
          </w:tcPr>
          <w:p>
            <w:pPr>
              <w:pStyle w:val="Compact"/>
              <w:jc w:val="left"/>
            </w:pPr>
            <w:r>
              <w:rPr>
                <w:sz w:val="18"/>
                <w:szCs w:val="18"/>
              </w:rPr>
              <w:t xml:space="preserve">Segmentation</w:t>
            </w:r>
          </w:p>
        </w:tc>
        <w:tc>
          <w:tcPr>
            <w:tcW w:type="dxa" w:w="919"/>
          </w:tcPr>
          <w:p>
            <w:pPr>
              <w:pStyle w:val="Compact"/>
              <w:jc w:val="right"/>
            </w:pPr>
            <w:r>
              <w:rPr>
                <w:sz w:val="18"/>
                <w:szCs w:val="18"/>
              </w:rPr>
              <w:t xml:space="preserve">2310</w:t>
            </w:r>
          </w:p>
        </w:tc>
        <w:tc>
          <w:tcPr>
            <w:tcW w:type="dxa" w:w="919"/>
          </w:tcPr>
          <w:p>
            <w:pPr>
              <w:pStyle w:val="Compact"/>
              <w:jc w:val="right"/>
            </w:pPr>
            <w:r>
              <w:rPr>
                <w:sz w:val="18"/>
                <w:szCs w:val="18"/>
              </w:rPr>
              <w:t xml:space="preserve">19</w:t>
            </w:r>
          </w:p>
        </w:tc>
        <w:tc>
          <w:tcPr>
            <w:tcW w:type="dxa" w:w="919"/>
          </w:tcPr>
          <w:p>
            <w:pPr>
              <w:pStyle w:val="Compact"/>
              <w:jc w:val="right"/>
            </w:pPr>
            <w:r>
              <w:rPr>
                <w:sz w:val="18"/>
                <w:szCs w:val="18"/>
              </w:rPr>
              <w:t xml:space="preserve">7</w:t>
            </w:r>
          </w:p>
        </w:tc>
        <w:tc>
          <w:tcPr>
            <w:tcW w:type="dxa" w:w="919"/>
          </w:tcPr>
          <w:p>
            <w:pPr>
              <w:pStyle w:val="Compact"/>
              <w:jc w:val="left"/>
            </w:pPr>
            <w:r>
              <w:rPr>
                <w:sz w:val="18"/>
                <w:szCs w:val="18"/>
              </w:rPr>
              <w:t xml:space="preserve">Images</w:t>
            </w:r>
          </w:p>
        </w:tc>
      </w:tr>
      <w:tr>
        <w:tc>
          <w:tcPr>
            <w:tcW w:type="dxa" w:w="919"/>
          </w:tcPr>
          <w:p>
            <w:pPr>
              <w:pStyle w:val="Compact"/>
              <w:jc w:val="left"/>
            </w:pPr>
            <w:r>
              <w:rPr>
                <w:sz w:val="18"/>
                <w:szCs w:val="18"/>
              </w:rPr>
              <w:t xml:space="preserve">ISOLET</w:t>
            </w:r>
          </w:p>
        </w:tc>
        <w:tc>
          <w:tcPr>
            <w:tcW w:type="dxa" w:w="919"/>
          </w:tcPr>
          <w:p>
            <w:pPr>
              <w:pStyle w:val="Compact"/>
              <w:jc w:val="right"/>
            </w:pPr>
            <w:r>
              <w:rPr>
                <w:sz w:val="18"/>
                <w:szCs w:val="18"/>
              </w:rPr>
              <w:t xml:space="preserve">6006</w:t>
            </w:r>
          </w:p>
        </w:tc>
        <w:tc>
          <w:tcPr>
            <w:tcW w:type="dxa" w:w="919"/>
          </w:tcPr>
          <w:p>
            <w:pPr>
              <w:pStyle w:val="Compact"/>
              <w:jc w:val="right"/>
            </w:pPr>
            <w:r>
              <w:rPr>
                <w:sz w:val="18"/>
                <w:szCs w:val="18"/>
              </w:rPr>
              <w:t xml:space="preserve">617</w:t>
            </w:r>
          </w:p>
        </w:tc>
        <w:tc>
          <w:tcPr>
            <w:tcW w:type="dxa" w:w="919"/>
          </w:tcPr>
          <w:p>
            <w:pPr>
              <w:pStyle w:val="Compact"/>
              <w:jc w:val="right"/>
            </w:pPr>
            <w:r>
              <w:rPr>
                <w:sz w:val="18"/>
                <w:szCs w:val="18"/>
              </w:rPr>
              <w:t xml:space="preserve">26</w:t>
            </w:r>
          </w:p>
        </w:tc>
        <w:tc>
          <w:tcPr>
            <w:tcW w:type="dxa" w:w="919"/>
          </w:tcPr>
          <w:p>
            <w:pPr>
              <w:pStyle w:val="Compact"/>
              <w:jc w:val="left"/>
            </w:pPr>
            <w:r>
              <w:rPr>
                <w:sz w:val="18"/>
                <w:szCs w:val="18"/>
              </w:rPr>
              <w:t xml:space="preserve">Speech</w:t>
            </w:r>
          </w:p>
        </w:tc>
      </w:tr>
      <w:tr>
        <w:tc>
          <w:tcPr>
            <w:tcW w:type="dxa" w:w="919"/>
          </w:tcPr>
          <w:p>
            <w:pPr>
              <w:pStyle w:val="Compact"/>
              <w:jc w:val="left"/>
            </w:pPr>
            <w:r>
              <w:rPr>
                <w:sz w:val="18"/>
                <w:szCs w:val="18"/>
              </w:rPr>
              <w:t xml:space="preserve">Satimage</w:t>
            </w:r>
          </w:p>
        </w:tc>
        <w:tc>
          <w:tcPr>
            <w:tcW w:type="dxa" w:w="919"/>
          </w:tcPr>
          <w:p>
            <w:pPr>
              <w:pStyle w:val="Compact"/>
              <w:jc w:val="right"/>
            </w:pPr>
            <w:r>
              <w:rPr>
                <w:sz w:val="18"/>
                <w:szCs w:val="18"/>
              </w:rPr>
              <w:t xml:space="preserve">6430</w:t>
            </w:r>
          </w:p>
        </w:tc>
        <w:tc>
          <w:tcPr>
            <w:tcW w:type="dxa" w:w="919"/>
          </w:tcPr>
          <w:p>
            <w:pPr>
              <w:pStyle w:val="Compact"/>
              <w:jc w:val="right"/>
            </w:pPr>
            <w:r>
              <w:rPr>
                <w:sz w:val="18"/>
                <w:szCs w:val="18"/>
              </w:rPr>
              <w:t xml:space="preserve">36</w:t>
            </w:r>
          </w:p>
        </w:tc>
        <w:tc>
          <w:tcPr>
            <w:tcW w:type="dxa" w:w="919"/>
          </w:tcPr>
          <w:p>
            <w:pPr>
              <w:pStyle w:val="Compact"/>
              <w:jc w:val="right"/>
            </w:pPr>
            <w:r>
              <w:rPr>
                <w:sz w:val="18"/>
                <w:szCs w:val="18"/>
              </w:rPr>
              <w:t xml:space="preserve">6</w:t>
            </w:r>
          </w:p>
        </w:tc>
        <w:tc>
          <w:tcPr>
            <w:tcW w:type="dxa" w:w="919"/>
          </w:tcPr>
          <w:p>
            <w:pPr>
              <w:pStyle w:val="Compact"/>
              <w:jc w:val="left"/>
            </w:pPr>
            <w:r>
              <w:rPr>
                <w:sz w:val="18"/>
                <w:szCs w:val="18"/>
              </w:rPr>
              <w:t xml:space="preserve">Remote Sensing</w:t>
            </w:r>
          </w:p>
        </w:tc>
      </w:tr>
      <w:tr>
        <w:tc>
          <w:tcPr>
            <w:tcW w:type="dxa" w:w="919"/>
          </w:tcPr>
          <w:p>
            <w:pPr>
              <w:pStyle w:val="Compact"/>
              <w:jc w:val="left"/>
            </w:pPr>
            <w:r>
              <w:rPr>
                <w:sz w:val="18"/>
                <w:szCs w:val="18"/>
              </w:rPr>
              <w:t xml:space="preserve">USPS</w:t>
            </w:r>
          </w:p>
        </w:tc>
        <w:tc>
          <w:tcPr>
            <w:tcW w:type="dxa" w:w="919"/>
          </w:tcPr>
          <w:p>
            <w:pPr>
              <w:pStyle w:val="Compact"/>
              <w:jc w:val="right"/>
            </w:pPr>
            <w:r>
              <w:rPr>
                <w:sz w:val="18"/>
                <w:szCs w:val="18"/>
              </w:rPr>
              <w:t xml:space="preserve">9298</w:t>
            </w:r>
          </w:p>
        </w:tc>
        <w:tc>
          <w:tcPr>
            <w:tcW w:type="dxa" w:w="919"/>
          </w:tcPr>
          <w:p>
            <w:pPr>
              <w:pStyle w:val="Compact"/>
              <w:jc w:val="right"/>
            </w:pPr>
            <w:r>
              <w:rPr>
                <w:sz w:val="18"/>
                <w:szCs w:val="18"/>
              </w:rPr>
              <w:t xml:space="preserve">256</w:t>
            </w:r>
          </w:p>
        </w:tc>
        <w:tc>
          <w:tcPr>
            <w:tcW w:type="dxa" w:w="919"/>
          </w:tcPr>
          <w:p>
            <w:pPr>
              <w:pStyle w:val="Compact"/>
              <w:jc w:val="right"/>
            </w:pPr>
            <w:r>
              <w:rPr>
                <w:sz w:val="18"/>
                <w:szCs w:val="18"/>
              </w:rPr>
              <w:t xml:space="preserve">10</w:t>
            </w:r>
          </w:p>
        </w:tc>
        <w:tc>
          <w:tcPr>
            <w:tcW w:type="dxa" w:w="919"/>
          </w:tcPr>
          <w:p>
            <w:pPr>
              <w:pStyle w:val="Compact"/>
              <w:jc w:val="left"/>
            </w:pPr>
            <w:r>
              <w:rPr>
                <w:sz w:val="18"/>
                <w:szCs w:val="18"/>
              </w:rPr>
              <w:t xml:space="preserve">Digits</w:t>
            </w:r>
          </w:p>
        </w:tc>
      </w:tr>
      <w:tr>
        <w:tc>
          <w:tcPr>
            <w:tcW w:type="dxa" w:w="919"/>
          </w:tcPr>
          <w:p>
            <w:pPr>
              <w:pStyle w:val="Compact"/>
              <w:jc w:val="left"/>
            </w:pPr>
            <w:r>
              <w:rPr>
                <w:sz w:val="18"/>
                <w:szCs w:val="18"/>
              </w:rPr>
              <w:t xml:space="preserve">PenDigits</w:t>
            </w:r>
          </w:p>
        </w:tc>
        <w:tc>
          <w:tcPr>
            <w:tcW w:type="dxa" w:w="919"/>
          </w:tcPr>
          <w:p>
            <w:pPr>
              <w:pStyle w:val="Compact"/>
              <w:jc w:val="right"/>
            </w:pPr>
            <w:r>
              <w:rPr>
                <w:sz w:val="18"/>
                <w:szCs w:val="18"/>
              </w:rPr>
              <w:t xml:space="preserve">10992</w:t>
            </w:r>
          </w:p>
        </w:tc>
        <w:tc>
          <w:tcPr>
            <w:tcW w:type="dxa" w:w="919"/>
          </w:tcPr>
          <w:p>
            <w:pPr>
              <w:pStyle w:val="Compact"/>
              <w:jc w:val="right"/>
            </w:pPr>
            <w:r>
              <w:rPr>
                <w:sz w:val="18"/>
                <w:szCs w:val="18"/>
              </w:rPr>
              <w:t xml:space="preserve">16</w:t>
            </w:r>
          </w:p>
        </w:tc>
        <w:tc>
          <w:tcPr>
            <w:tcW w:type="dxa" w:w="919"/>
          </w:tcPr>
          <w:p>
            <w:pPr>
              <w:pStyle w:val="Compact"/>
              <w:jc w:val="right"/>
            </w:pPr>
            <w:r>
              <w:rPr>
                <w:sz w:val="18"/>
                <w:szCs w:val="18"/>
              </w:rPr>
              <w:t xml:space="preserve">10</w:t>
            </w:r>
          </w:p>
        </w:tc>
        <w:tc>
          <w:tcPr>
            <w:tcW w:type="dxa" w:w="919"/>
          </w:tcPr>
          <w:p>
            <w:pPr>
              <w:pStyle w:val="Compact"/>
              <w:jc w:val="left"/>
            </w:pPr>
            <w:r>
              <w:rPr>
                <w:sz w:val="18"/>
                <w:szCs w:val="18"/>
              </w:rPr>
              <w:t xml:space="preserve">Handwriting</w:t>
            </w:r>
          </w:p>
        </w:tc>
      </w:tr>
    </w:tbl>
    <w:bookmarkEnd w:id="51"/>
    <w:bookmarkEnd w:id="52"/>
    <w:bookmarkStart w:id="53" w:name="evaluation-protocol"/>
    <w:p>
      <w:pPr>
        <w:pStyle w:val="Heading2"/>
        <w:jc w:val="left"/>
      </w:pPr>
      <w:r>
        <w:rPr>
          <w:rFonts w:ascii="Times New Roman" w:hAnsi="Times New Roman" w:cs="Times New Roman"/>
          <w:b/>
          <w:color w:val="C00000"/>
          <w:sz w:val="22"/>
        </w:rPr>
        <w:t>Evaluation Protocol</w:t>
      </w:r>
    </w:p>
    <w:p>
      <w:pPr>
        <w:pStyle w:val="FirstParagraph"/>
        <w:spacing w:before="0" w:after="0" w:line="240" w:lineRule="auto"/>
        <w:ind w:firstLine="330"/>
        <w:jc w:val="both"/>
      </w:pPr>
      <w:r>
        <w:rPr>
          <w:color w:val="C00000"/>
        </w:rPr>
        <w:t xml:space="preserve">Three external validity indices are reported: Adjusted Rand Index (ARI) [21], Normalized Mutual Information (NMI) [18], and Clustering Accuracy (ACC) [22]. Unless noted, results are averaged over five fixed seeds (</w:t>
      </w:r>
      <m:oMath>
        <m:r>
          <m:t>1001</m:t>
        </m:r>
      </m:oMath>
      <w:r>
        <w:rPr>
          <w:color w:val="C00000"/>
        </w:rPr>
        <w:t xml:space="preserve">–</w:t>
      </w:r>
      <m:oMath>
        <m:r>
          <m:t>1005</m:t>
        </m:r>
      </m:oMath>
      <w:r>
        <w:rPr>
          <w:color w:val="C00000"/>
        </w:rPr>
        <w:t xml:space="preserve">) for reproducibility. DEAC is configured with AMR-DE (</w:t>
      </w:r>
      <m:oMath>
        <m:r>
          <m:t>G</m:t>
        </m:r>
        <m:r>
          <m:rPr>
            <m:sty m:val="p"/>
          </m:rPr>
          <m:t>=</m:t>
        </m:r>
        <m:r>
          <m:t>8</m:t>
        </m:r>
      </m:oMath>
      <w:r>
        <w:rPr>
          <w:color w:val="C00000"/>
        </w:rPr>
        <w:t xml:space="preserve"> </w:t>
      </w:r>
      <w:r>
        <w:rPr>
          <w:color w:val="C00000"/>
        </w:rPr>
        <w:t xml:space="preserve">generations, population</w:t>
      </w:r>
      <w:r>
        <w:rPr>
          <w:color w:val="C00000"/>
        </w:rPr>
        <w:t xml:space="preserve"> </w:t>
      </w:r>
      <m:oMath>
        <m:r>
          <m:t>P</m:t>
        </m:r>
        <m:r>
          <m:rPr>
            <m:sty m:val="p"/>
          </m:rPr>
          <m:t>=</m:t>
        </m:r>
        <m:r>
          <m:t>20</m:t>
        </m:r>
      </m:oMath>
      <w:r>
        <w:rPr>
          <w:color w:val="C00000"/>
        </w:rPr>
        <w:t xml:space="preserve">,</w:t>
      </w:r>
      <w:r>
        <w:rPr>
          <w:color w:val="C00000"/>
        </w:rPr>
        <w:t xml:space="preserve"> </w:t>
      </w:r>
      <m:oMath>
        <m:r>
          <m:t>R</m:t>
        </m:r>
        <m:r>
          <m:rPr>
            <m:sty m:val="p"/>
          </m:rPr>
          <m:t>=</m:t>
        </m:r>
        <m:r>
          <m:t>2</m:t>
        </m:r>
      </m:oMath>
      <w:r>
        <w:rPr>
          <w:color w:val="C00000"/>
        </w:rPr>
        <w:t xml:space="preserve"> </w:t>
      </w:r>
      <w:r>
        <w:rPr>
          <w:color w:val="C00000"/>
        </w:rPr>
        <w:t xml:space="preserve">restarts over the four hyperparameters</w:t>
      </w:r>
      <w:r>
        <w:rPr>
          <w:color w:val="C00000"/>
        </w:rPr>
        <w:t xml:space="preserve"> </w:t>
      </w:r>
      <m:oMath>
        <m:r>
          <m:t>k</m:t>
        </m:r>
        <m:r>
          <m:rPr>
            <m:sty m:val="p"/>
          </m:rPr>
          <m:t>,</m:t>
        </m:r>
        <m:sSup>
          <m:e>
            <m:r>
              <m:t>d</m:t>
            </m:r>
          </m:e>
          <m:sup>
            <m:r>
              <m:rPr>
                <m:sty m:val="p"/>
              </m:rPr>
              <m:t>′</m:t>
            </m:r>
          </m:sup>
        </m:sSup>
        <m:r>
          <m:rPr>
            <m:sty m:val="p"/>
          </m:rPr>
          <m:t>,</m:t>
        </m:r>
        <m:r>
          <m:t>q</m:t>
        </m:r>
        <m:r>
          <m:rPr>
            <m:sty m:val="p"/>
          </m:rPr>
          <m:t>,</m:t>
        </m:r>
        <m:r>
          <m:t>r</m:t>
        </m:r>
      </m:oMath>
      <w:r>
        <w:rPr>
          <w:color w:val="C00000"/>
        </w:rPr>
        <w:t xml:space="preserve">) and EMR-CGC (60 base clusterings). The baseline is UMAP+Louvain with community-standard settings (</w:t>
      </w:r>
      <m:oMath>
        <m:r>
          <m:t>k</m:t>
        </m:r>
        <m:r>
          <m:rPr>
            <m:sty m:val="p"/>
          </m:rPr>
          <m:t>=</m:t>
        </m:r>
        <m:r>
          <m:t>35</m:t>
        </m:r>
      </m:oMath>
      <w:r>
        <w:rPr>
          <w:color w:val="C00000"/>
        </w:rPr>
        <w:t xml:space="preserve">,</w:t>
      </w:r>
      <w:r>
        <w:rPr>
          <w:color w:val="C00000"/>
        </w:rPr>
        <w:t xml:space="preserve"> </w:t>
      </w:r>
      <m:oMath>
        <m:r>
          <m:t>q</m:t>
        </m:r>
        <m:r>
          <m:rPr>
            <m:sty m:val="p"/>
          </m:rPr>
          <m:t>=</m:t>
        </m:r>
        <m:r>
          <m:t>0.1</m:t>
        </m:r>
      </m:oMath>
      <w:r>
        <w:rPr>
          <w:color w:val="C00000"/>
        </w:rPr>
        <w:t xml:space="preserve">, resolution</w:t>
      </w:r>
      <w:r>
        <w:rPr>
          <w:color w:val="C00000"/>
        </w:rPr>
        <w:t xml:space="preserve"> </w:t>
      </w:r>
      <m:oMath>
        <m:r>
          <m:t>0.25</m:t>
        </m:r>
      </m:oMath>
      <w:r>
        <w:rPr>
          <w:color w:val="C00000"/>
        </w:rPr>
        <w:t xml:space="preserve">)—a legitimate reference rather than a deliberately weakened one; indeed it is the single strongest engine on 1 of 12 datasets. With the protocol fixed, we turn to the headline results.</w:t>
      </w:r>
    </w:p>
    <w:bookmarkEnd w:id="53"/>
    <w:bookmarkStart w:id="68" w:name="main-results"/>
    <w:p>
      <w:pPr>
        <w:pStyle w:val="Heading2"/>
        <w:jc w:val="left"/>
      </w:pPr>
      <w:r>
        <w:rPr>
          <w:rFonts w:ascii="Times New Roman" w:hAnsi="Times New Roman" w:cs="Times New Roman"/>
          <w:b/>
          <w:color w:val="C00000"/>
          <w:sz w:val="22"/>
        </w:rPr>
        <w:t>Main Results</w:t>
      </w:r>
    </w:p>
    <w:p>
      <w:pPr>
        <w:pStyle w:val="FirstParagraph"/>
        <w:spacing w:before="0" w:after="0" w:line="240" w:lineRule="auto"/>
        <w:ind w:firstLine="330"/>
        <w:jc w:val="both"/>
      </w:pPr>
      <w:r>
        <w:rPr>
          <w:color w:val="C00000"/>
        </w:rPr>
        <w:t xml:space="preserve">Table </w:t>
      </w:r>
      <w:hyperlink w:anchor="tab:main_results">
        <w:r>
          <w:rPr>
            <w:rStyle w:val="Hyperlink"/>
          </w:rPr>
          <w:t xml:space="preserve">5</w:t>
        </w:r>
      </w:hyperlink>
      <w:r>
        <w:rPr>
          <w:color w:val="C00000"/>
        </w:rPr>
        <w:t xml:space="preserve"> </w:t>
      </w:r>
      <w:r>
        <w:rPr>
          <w:color w:val="C00000"/>
        </w:rPr>
        <w:t xml:space="preserve">reports the Baseline, the three engines, the deployable</w:t>
      </w:r>
      <w:r>
        <w:rPr>
          <w:color w:val="C00000"/>
        </w:rPr>
        <w:t xml:space="preserve"> </w:t>
      </w:r>
      <w:r>
        <w:rPr>
          <w:b/>
          <w:bCs/>
          <w:color w:val="C00000"/>
        </w:rPr>
        <w:t xml:space="preserve">DEAC</w:t>
      </w:r>
      <w:r>
        <w:rPr>
          <w:color w:val="C00000"/>
        </w:rPr>
        <w:t xml:space="preserve"> </w:t>
      </w:r>
      <w:r>
        <w:rPr>
          <w:color w:val="C00000"/>
        </w:rPr>
        <w:t xml:space="preserve">gate, and—for reference only—the label-aware oracle. The oracle (best engine per dataset, chosen with ground-truth labels) lifts mean ARI from</w:t>
      </w:r>
      <w:r>
        <w:rPr>
          <w:color w:val="C00000"/>
        </w:rPr>
        <w:t xml:space="preserve"> </w:t>
      </w:r>
      <m:oMath>
        <m:r>
          <m:t>0.580</m:t>
        </m:r>
      </m:oMath>
      <w:r>
        <w:rPr>
          <w:color w:val="C00000"/>
        </w:rPr>
        <w:t xml:space="preserve"> </w:t>
      </w:r>
      <w:r>
        <w:rPr>
          <w:color w:val="C00000"/>
        </w:rPr>
        <w:t xml:space="preserve">to</w:t>
      </w:r>
      <w:r>
        <w:rPr>
          <w:color w:val="C00000"/>
        </w:rPr>
        <w:t xml:space="preserve"> </w:t>
      </w:r>
      <m:oMath>
        <m:r>
          <m:t>0.646</m:t>
        </m:r>
      </m:oMath>
      <w:r>
        <w:rPr>
          <w:color w:val="C00000"/>
        </w:rPr>
        <w:t xml:space="preserve">, but it is unavailable at deployment. The label-free gate recovers</w:t>
      </w:r>
      <w:r>
        <w:rPr>
          <w:color w:val="C00000"/>
        </w:rPr>
        <w:t xml:space="preserve"> </w:t>
      </w:r>
      <m:oMath>
        <m:r>
          <m:t>65</m:t>
        </m:r>
        <m:r>
          <m:rPr>
            <m:sty m:val="p"/>
          </m:rPr>
          <m:t>%</m:t>
        </m:r>
      </m:oMath>
      <w:r>
        <w:rPr>
          <w:color w:val="C00000"/>
        </w:rPr>
        <w:t xml:space="preserve"> </w:t>
      </w:r>
      <w:r>
        <w:rPr>
          <w:color w:val="C00000"/>
        </w:rPr>
        <w:t xml:space="preserve">of that gain (</w:t>
      </w:r>
      <m:oMath>
        <m:r>
          <m:t>0.623</m:t>
        </m:r>
      </m:oMath>
      <w:r>
        <w:rPr>
          <w:color w:val="C00000"/>
        </w:rPr>
        <w:t xml:space="preserve">); the ensemble alone (EMR-CGC,</w:t>
      </w:r>
      <w:r>
        <w:rPr>
          <w:color w:val="C00000"/>
        </w:rPr>
        <w:t xml:space="preserve"> </w:t>
      </w:r>
      <m:oMath>
        <m:r>
          <m:t>0.631</m:t>
        </m:r>
      </m:oMath>
      <w:r>
        <w:rPr>
          <w:color w:val="C00000"/>
        </w:rPr>
        <w:t xml:space="preserve">) recovers</w:t>
      </w:r>
      <w:r>
        <w:rPr>
          <w:color w:val="C00000"/>
        </w:rPr>
        <w:t xml:space="preserve"> </w:t>
      </w:r>
      <m:oMath>
        <m:r>
          <m:t>77</m:t>
        </m:r>
        <m:r>
          <m:rPr>
            <m:sty m:val="p"/>
          </m:rPr>
          <m:t>%</m:t>
        </m:r>
      </m:oMath>
      <w:r>
        <w:rPr>
          <w:color w:val="C00000"/>
        </w:rPr>
        <w:t xml:space="preserve">, so the gate’s arbitration slightly</w:t>
      </w:r>
      <w:r>
        <w:rPr>
          <w:color w:val="C00000"/>
        </w:rPr>
        <w:t xml:space="preserve"> </w:t>
      </w:r>
      <w:r>
        <w:rPr>
          <w:i/>
          <w:iCs/>
          <w:color w:val="C00000"/>
        </w:rPr>
        <w:t xml:space="preserve">lowers</w:t>
      </w:r>
      <w:r>
        <w:rPr>
          <w:color w:val="C00000"/>
        </w:rPr>
        <w:t xml:space="preserve"> </w:t>
      </w:r>
      <w:r>
        <w:rPr>
          <w:color w:val="C00000"/>
        </w:rPr>
        <w:t xml:space="preserve">mean ARI—a trade we examine in §</w:t>
      </w:r>
      <w:hyperlink w:anchor="sec:disc">
        <w:r>
          <w:rPr>
            <w:rStyle w:val="Hyperlink"/>
          </w:rPr>
          <w:t xml:space="preserve">5</w:t>
        </w:r>
      </w:hyperlink>
      <w:r>
        <w:rPr>
          <w:color w:val="C00000"/>
        </w:rPr>
        <w:t xml:space="preserve">. Fig. </w:t>
      </w:r>
      <w:hyperlink w:anchor="fig:main_results">
        <w:r>
          <w:rPr>
            <w:rStyle w:val="Hyperlink"/>
          </w:rPr>
          <w:t xml:space="preserve">6</w:t>
        </w:r>
      </w:hyperlink>
      <w:r>
        <w:rPr>
          <w:color w:val="C00000"/>
        </w:rPr>
        <w:t xml:space="preserve"> </w:t>
      </w:r>
      <w:r>
        <w:rPr>
          <w:color w:val="C00000"/>
        </w:rPr>
        <w:t xml:space="preserve">shows the per-dataset picture and the gate’s activation. The central question is how much of the oracle a label-free rule can recover; we first place DEAC against established competitors.</w:t>
      </w:r>
    </w:p>
    <w:bookmarkStart w:id="54" w:name="tab:main_results"/>
    <w:p>
      <w:pPr>
        <w:pStyle w:val="TableCaption"/>
        <w:jc w:val="center"/>
      </w:pPr>
      <w:r>
        <w:rPr>
          <w:rFonts w:ascii="Times New Roman" w:hAnsi="Times New Roman" w:cs="Times New Roman"/>
          <w:color w:val="000000"/>
          <w:sz w:val="20"/>
        </w:rPr>
        <w:t xml:space="preserve">Table 5. </w:t>
      </w:r>
      <w:r>
        <w:rPr>
          <w:rFonts w:ascii="Times New Roman" w:hAnsi="Times New Roman" w:cs="Times New Roman"/>
          <w:color w:val="000000"/>
          <w:sz w:val="20"/>
        </w:rPr>
        <w:t xml:space="preserve">Main results: mean ARI over 5 seeds (1001–1005), full data.</w:t>
      </w:r>
      <w:r>
        <w:rPr>
          <w:rFonts w:ascii="Times New Roman" w:hAnsi="Times New Roman" w:cs="Times New Roman"/>
          <w:color w:val="000000"/>
          <w:sz w:val="20"/>
        </w:rPr>
        <w:t xml:space="preserve"> </w:t>
      </w:r>
      <w:r>
        <w:rPr>
          <w:rFonts w:ascii="Times New Roman" w:hAnsi="Times New Roman" w:cs="Times New Roman"/>
          <w:b/>
          <w:bCs/>
          <w:color w:val="000000"/>
          <w:sz w:val="20"/>
        </w:rPr>
        <w:t xml:space="preserve">DEAC</w:t>
      </w:r>
      <w:r>
        <w:rPr>
          <w:rFonts w:ascii="Times New Roman" w:hAnsi="Times New Roman" w:cs="Times New Roman"/>
          <w:color w:val="000000"/>
          <w:sz w:val="20"/>
        </w:rPr>
        <w:t xml:space="preserve"> </w:t>
      </w:r>
      <w:r>
        <w:rPr>
          <w:rFonts w:ascii="Times New Roman" w:hAnsi="Times New Roman" w:cs="Times New Roman"/>
          <w:color w:val="000000"/>
          <w:sz w:val="20"/>
        </w:rPr>
        <w:t xml:space="preserve">is the</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deployable</w:t>
      </w:r>
      <w:r>
        <w:rPr>
          <w:rFonts w:ascii="Times New Roman" w:hAnsi="Times New Roman" w:cs="Times New Roman"/>
          <w:color w:val="000000"/>
          <w:sz w:val="20"/>
        </w:rPr>
        <w:t xml:space="preserve"> </w:t>
      </w:r>
      <w:r>
        <w:rPr>
          <w:rFonts w:ascii="Times New Roman" w:hAnsi="Times New Roman" w:cs="Times New Roman"/>
          <w:color w:val="000000"/>
          <w:sz w:val="20"/>
        </w:rPr>
        <w:t xml:space="preserve">label-free QualityGate;</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Oracle</w:t>
      </w:r>
      <w:r>
        <w:rPr>
          <w:rFonts w:ascii="Times New Roman" w:hAnsi="Times New Roman" w:cs="Times New Roman"/>
          <w:color w:val="000000"/>
          <w:sz w:val="20"/>
        </w:rPr>
        <w:t xml:space="preserve"> </w:t>
      </w:r>
      <w:r>
        <w:rPr>
          <w:rFonts w:ascii="Times New Roman" w:hAnsi="Times New Roman" w:cs="Times New Roman"/>
          <w:color w:val="000000"/>
          <w:sz w:val="20"/>
        </w:rPr>
        <w:t xml:space="preserve">is the label-selected best engine per dataset (a diagnostic upper bound, not a deployable result). Bold = best</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deployable</w:t>
      </w:r>
      <w:r>
        <w:rPr>
          <w:rFonts w:ascii="Times New Roman" w:hAnsi="Times New Roman" w:cs="Times New Roman"/>
          <w:color w:val="000000"/>
          <w:sz w:val="20"/>
        </w:rPr>
        <w:t xml:space="preserve"> </w:t>
      </w:r>
      <w:r>
        <w:rPr>
          <w:rFonts w:ascii="Times New Roman" w:hAnsi="Times New Roman" w:cs="Times New Roman"/>
          <w:color w:val="000000"/>
          <w:sz w:val="20"/>
        </w:rPr>
        <w:t xml:space="preserve">value per row.</w:t>
      </w:r>
    </w:p>
    <w:tbl>
      <w:tblPr>
        <w:tblStyle w:val="Table"/>
        <w:tblW w:type="dxa" w:w="4596"/>
        <w:tblLook w:firstRow="1" w:lastRow="0" w:firstColumn="0" w:lastColumn="0" w:noHBand="0" w:noVBand="0" w:val="0020"/>
        <w:tblCaption w:val="Main results: mean ARI over 5 seeds (1001–1005), full data. DEAC is the deployable label-free QualityGate; Oracle is the label-selected best engine per dataset (a diagnostic upper bound, not a deployable result). Bold = best deployable value per row."/>
        <w:tblLayout w:type="fixed"/>
      </w:tblPr>
      <w:tblGrid>
        <w:gridCol w:w="766"/>
        <w:gridCol w:w="766"/>
        <w:gridCol w:w="766"/>
        <w:gridCol w:w="766"/>
        <w:gridCol w:w="766"/>
        <w:gridCol w:w="766"/>
      </w:tblGrid>
      <w:tr>
        <w:trPr>
          <w:tblHeader w:val="on"/>
        </w:trPr>
        <w:tc>
          <w:tcPr>
            <w:tcW w:type="dxa" w:w="766"/>
          </w:tcPr>
          <w:p>
            <w:pPr>
              <w:pStyle w:val="Compact"/>
              <w:jc w:val="left"/>
            </w:pPr>
            <w:r>
              <w:rPr>
                <w:sz w:val="18"/>
                <w:szCs w:val="18"/>
              </w:rPr>
              <w:t xml:space="preserve">Dataset</w:t>
            </w:r>
          </w:p>
        </w:tc>
        <w:tc>
          <w:tcPr>
            <w:tcW w:type="dxa" w:w="766"/>
          </w:tcPr>
          <w:p>
            <w:pPr>
              <w:pStyle w:val="Compact"/>
              <w:jc w:val="center"/>
            </w:pPr>
            <w:r>
              <w:rPr>
                <w:sz w:val="18"/>
                <w:szCs w:val="18"/>
              </w:rPr>
              <w:t xml:space="preserve">Baseline</w:t>
            </w:r>
          </w:p>
        </w:tc>
        <w:tc>
          <w:tcPr>
            <w:tcW w:type="dxa" w:w="766"/>
          </w:tcPr>
          <w:p>
            <w:pPr>
              <w:pStyle w:val="Compact"/>
              <w:jc w:val="center"/>
            </w:pPr>
            <w:r>
              <w:rPr>
                <w:sz w:val="18"/>
                <w:szCs w:val="18"/>
              </w:rPr>
              <w:t xml:space="preserve">AMR-DE</w:t>
            </w:r>
          </w:p>
        </w:tc>
        <w:tc>
          <w:tcPr>
            <w:tcW w:type="dxa" w:w="766"/>
          </w:tcPr>
          <w:p>
            <w:pPr>
              <w:pStyle w:val="Compact"/>
              <w:jc w:val="center"/>
            </w:pPr>
            <w:r>
              <w:rPr>
                <w:sz w:val="18"/>
                <w:szCs w:val="18"/>
              </w:rPr>
              <w:t xml:space="preserve">EMR-CGC</w:t>
            </w:r>
          </w:p>
        </w:tc>
        <w:tc>
          <w:tcPr>
            <w:tcW w:type="dxa" w:w="766"/>
          </w:tcPr>
          <w:p>
            <w:pPr>
              <w:pStyle w:val="Compact"/>
              <w:jc w:val="center"/>
            </w:pPr>
            <w:r>
              <w:rPr>
                <w:b/>
                <w:bCs/>
                <w:sz w:val="18"/>
                <w:szCs w:val="18"/>
              </w:rPr>
              <w:t xml:space="preserve">DEAC</w:t>
            </w:r>
          </w:p>
        </w:tc>
        <w:tc>
          <w:tcPr>
            <w:tcW w:type="dxa" w:w="766"/>
          </w:tcPr>
          <w:p>
            <w:pPr>
              <w:pStyle w:val="Compact"/>
              <w:jc w:val="center"/>
            </w:pPr>
            <w:r>
              <w:rPr>
                <w:i/>
                <w:iCs/>
                <w:sz w:val="18"/>
                <w:szCs w:val="18"/>
              </w:rPr>
              <w:t xml:space="preserve">Oracle</w:t>
            </w:r>
          </w:p>
        </w:tc>
      </w:tr>
      <w:tr>
        <w:tc>
          <w:tcPr>
            <w:tcW w:type="dxa" w:w="766"/>
          </w:tcPr>
          <w:p>
            <w:pPr>
              <w:pStyle w:val="Compact"/>
              <w:jc w:val="left"/>
            </w:pPr>
            <w:r>
              <w:rPr>
                <w:sz w:val="18"/>
                <w:szCs w:val="18"/>
              </w:rPr>
              <w:t xml:space="preserve">Wine</w:t>
            </w:r>
          </w:p>
        </w:tc>
        <w:tc>
          <w:tcPr>
            <w:tcW w:type="dxa" w:w="766"/>
          </w:tcPr>
          <w:p>
            <w:pPr>
              <w:pStyle w:val="Compact"/>
              <w:jc w:val="center"/>
            </w:pPr>
            <m:oMath>
              <m:r>
                <m:rPr>
                  <m:sty m:val="b"/>
                </m:rPr>
                <m:t>0.802</m:t>
              </m:r>
            </m:oMath>
          </w:p>
        </w:tc>
        <w:tc>
          <w:tcPr>
            <w:tcW w:type="dxa" w:w="766"/>
          </w:tcPr>
          <w:p>
            <w:pPr>
              <w:pStyle w:val="Compact"/>
              <w:jc w:val="center"/>
            </w:pPr>
            <w:r>
              <w:rPr>
                <w:sz w:val="18"/>
                <w:szCs w:val="18"/>
              </w:rPr>
              <w:t xml:space="preserve">0.774</w:t>
            </w:r>
          </w:p>
        </w:tc>
        <w:tc>
          <w:tcPr>
            <w:tcW w:type="dxa" w:w="766"/>
          </w:tcPr>
          <w:p>
            <w:pPr>
              <w:pStyle w:val="Compact"/>
              <w:jc w:val="center"/>
            </w:pPr>
            <w:r>
              <w:rPr>
                <w:sz w:val="18"/>
                <w:szCs w:val="18"/>
              </w:rPr>
              <w:t xml:space="preserve">0.797</w:t>
            </w:r>
          </w:p>
        </w:tc>
        <w:tc>
          <w:tcPr>
            <w:tcW w:type="dxa" w:w="766"/>
          </w:tcPr>
          <w:p>
            <w:pPr>
              <w:pStyle w:val="Compact"/>
              <w:jc w:val="center"/>
            </w:pPr>
            <w:r>
              <w:rPr>
                <w:sz w:val="18"/>
                <w:szCs w:val="18"/>
              </w:rPr>
              <w:t xml:space="preserve">0.791</w:t>
            </w:r>
          </w:p>
        </w:tc>
        <w:tc>
          <w:tcPr>
            <w:tcW w:type="dxa" w:w="766"/>
          </w:tcPr>
          <w:p>
            <w:pPr>
              <w:pStyle w:val="Compact"/>
              <w:jc w:val="center"/>
            </w:pPr>
            <w:r>
              <w:rPr>
                <w:i/>
                <w:iCs/>
                <w:sz w:val="18"/>
                <w:szCs w:val="18"/>
              </w:rPr>
              <w:t xml:space="preserve">0.802</w:t>
            </w:r>
          </w:p>
        </w:tc>
      </w:tr>
      <w:tr>
        <w:tc>
          <w:tcPr>
            <w:tcW w:type="dxa" w:w="766"/>
          </w:tcPr>
          <w:p>
            <w:pPr>
              <w:pStyle w:val="Compact"/>
              <w:jc w:val="left"/>
            </w:pPr>
            <w:r>
              <w:rPr>
                <w:sz w:val="18"/>
                <w:szCs w:val="18"/>
              </w:rPr>
              <w:t xml:space="preserve">Glass</w:t>
            </w:r>
          </w:p>
        </w:tc>
        <w:tc>
          <w:tcPr>
            <w:tcW w:type="dxa" w:w="766"/>
          </w:tcPr>
          <w:p>
            <w:pPr>
              <w:pStyle w:val="Compact"/>
              <w:jc w:val="center"/>
            </w:pPr>
            <w:r>
              <w:rPr>
                <w:sz w:val="18"/>
                <w:szCs w:val="18"/>
              </w:rPr>
              <w:t xml:space="preserve">0.123</w:t>
            </w:r>
          </w:p>
        </w:tc>
        <w:tc>
          <w:tcPr>
            <w:tcW w:type="dxa" w:w="766"/>
          </w:tcPr>
          <w:p>
            <w:pPr>
              <w:pStyle w:val="Compact"/>
              <w:jc w:val="center"/>
            </w:pPr>
            <w:r>
              <w:rPr>
                <w:sz w:val="18"/>
                <w:szCs w:val="18"/>
              </w:rPr>
              <w:t xml:space="preserve">0.165</w:t>
            </w:r>
          </w:p>
        </w:tc>
        <w:tc>
          <w:tcPr>
            <w:tcW w:type="dxa" w:w="766"/>
          </w:tcPr>
          <w:p>
            <w:pPr>
              <w:pStyle w:val="Compact"/>
              <w:jc w:val="center"/>
            </w:pPr>
            <w:r>
              <w:rPr>
                <w:sz w:val="18"/>
                <w:szCs w:val="18"/>
              </w:rPr>
              <w:t xml:space="preserve">0.165</w:t>
            </w:r>
          </w:p>
        </w:tc>
        <w:tc>
          <w:tcPr>
            <w:tcW w:type="dxa" w:w="766"/>
          </w:tcPr>
          <w:p>
            <w:pPr>
              <w:pStyle w:val="Compact"/>
              <w:jc w:val="center"/>
            </w:pPr>
            <m:oMath>
              <m:r>
                <m:rPr>
                  <m:sty m:val="b"/>
                </m:rPr>
                <m:t>0.169</m:t>
              </m:r>
            </m:oMath>
          </w:p>
        </w:tc>
        <w:tc>
          <w:tcPr>
            <w:tcW w:type="dxa" w:w="766"/>
          </w:tcPr>
          <w:p>
            <w:pPr>
              <w:pStyle w:val="Compact"/>
              <w:jc w:val="center"/>
            </w:pPr>
            <w:r>
              <w:rPr>
                <w:i/>
                <w:iCs/>
                <w:sz w:val="18"/>
                <w:szCs w:val="18"/>
              </w:rPr>
              <w:t xml:space="preserve">0.172</w:t>
            </w:r>
          </w:p>
        </w:tc>
      </w:tr>
      <w:tr>
        <w:tc>
          <w:tcPr>
            <w:tcW w:type="dxa" w:w="766"/>
          </w:tcPr>
          <w:p>
            <w:pPr>
              <w:pStyle w:val="Compact"/>
              <w:jc w:val="left"/>
            </w:pPr>
            <w:r>
              <w:rPr>
                <w:sz w:val="18"/>
                <w:szCs w:val="18"/>
              </w:rPr>
              <w:t xml:space="preserve">Olivetti</w:t>
            </w:r>
          </w:p>
        </w:tc>
        <w:tc>
          <w:tcPr>
            <w:tcW w:type="dxa" w:w="766"/>
          </w:tcPr>
          <w:p>
            <w:pPr>
              <w:pStyle w:val="Compact"/>
              <w:jc w:val="center"/>
            </w:pPr>
            <w:r>
              <w:rPr>
                <w:sz w:val="18"/>
                <w:szCs w:val="18"/>
              </w:rPr>
              <w:t xml:space="preserve">0.063</w:t>
            </w:r>
          </w:p>
        </w:tc>
        <w:tc>
          <w:tcPr>
            <w:tcW w:type="dxa" w:w="766"/>
          </w:tcPr>
          <w:p>
            <w:pPr>
              <w:pStyle w:val="Compact"/>
              <w:jc w:val="center"/>
            </w:pPr>
            <w:r>
              <w:rPr>
                <w:sz w:val="18"/>
                <w:szCs w:val="18"/>
              </w:rPr>
              <w:t xml:space="preserve">0.237</w:t>
            </w:r>
          </w:p>
        </w:tc>
        <w:tc>
          <w:tcPr>
            <w:tcW w:type="dxa" w:w="766"/>
          </w:tcPr>
          <w:p>
            <w:pPr>
              <w:pStyle w:val="Compact"/>
              <w:jc w:val="center"/>
            </w:pPr>
            <m:oMath>
              <m:r>
                <m:rPr>
                  <m:sty m:val="b"/>
                </m:rPr>
                <m:t>0.337</m:t>
              </m:r>
            </m:oMath>
          </w:p>
        </w:tc>
        <w:tc>
          <w:tcPr>
            <w:tcW w:type="dxa" w:w="766"/>
          </w:tcPr>
          <w:p>
            <w:pPr>
              <w:pStyle w:val="Compact"/>
              <w:jc w:val="center"/>
            </w:pPr>
            <w:r>
              <w:rPr>
                <w:sz w:val="18"/>
                <w:szCs w:val="18"/>
              </w:rPr>
              <w:t xml:space="preserve">0.237</w:t>
            </w:r>
          </w:p>
        </w:tc>
        <w:tc>
          <w:tcPr>
            <w:tcW w:type="dxa" w:w="766"/>
          </w:tcPr>
          <w:p>
            <w:pPr>
              <w:pStyle w:val="Compact"/>
              <w:jc w:val="center"/>
            </w:pPr>
            <w:r>
              <w:rPr>
                <w:i/>
                <w:iCs/>
                <w:sz w:val="18"/>
                <w:szCs w:val="18"/>
              </w:rPr>
              <w:t xml:space="preserve">0.337</w:t>
            </w:r>
          </w:p>
        </w:tc>
      </w:tr>
      <w:tr>
        <w:tc>
          <w:tcPr>
            <w:tcW w:type="dxa" w:w="766"/>
          </w:tcPr>
          <w:p>
            <w:pPr>
              <w:pStyle w:val="Compact"/>
              <w:jc w:val="left"/>
            </w:pPr>
            <w:r>
              <w:rPr>
                <w:sz w:val="18"/>
                <w:szCs w:val="18"/>
              </w:rPr>
              <w:t xml:space="preserve">CNAE-9</w:t>
            </w:r>
          </w:p>
        </w:tc>
        <w:tc>
          <w:tcPr>
            <w:tcW w:type="dxa" w:w="766"/>
          </w:tcPr>
          <w:p>
            <w:pPr>
              <w:pStyle w:val="Compact"/>
              <w:jc w:val="center"/>
            </w:pPr>
            <w:r>
              <w:rPr>
                <w:sz w:val="18"/>
                <w:szCs w:val="18"/>
              </w:rPr>
              <w:t xml:space="preserve">0.593</w:t>
            </w:r>
          </w:p>
        </w:tc>
        <w:tc>
          <w:tcPr>
            <w:tcW w:type="dxa" w:w="766"/>
          </w:tcPr>
          <w:p>
            <w:pPr>
              <w:pStyle w:val="Compact"/>
              <w:jc w:val="center"/>
            </w:pPr>
            <w:r>
              <w:rPr>
                <w:sz w:val="18"/>
                <w:szCs w:val="18"/>
              </w:rPr>
              <w:t xml:space="preserve">0.584</w:t>
            </w:r>
          </w:p>
        </w:tc>
        <w:tc>
          <w:tcPr>
            <w:tcW w:type="dxa" w:w="766"/>
          </w:tcPr>
          <w:p>
            <w:pPr>
              <w:pStyle w:val="Compact"/>
              <w:jc w:val="center"/>
            </w:pPr>
            <w:r>
              <w:rPr>
                <w:sz w:val="18"/>
                <w:szCs w:val="18"/>
              </w:rPr>
              <w:t xml:space="preserve">0.638</w:t>
            </w:r>
          </w:p>
        </w:tc>
        <w:tc>
          <w:tcPr>
            <w:tcW w:type="dxa" w:w="766"/>
          </w:tcPr>
          <w:p>
            <w:pPr>
              <w:pStyle w:val="Compact"/>
              <w:jc w:val="center"/>
            </w:pPr>
            <m:oMath>
              <m:r>
                <m:rPr>
                  <m:sty m:val="b"/>
                </m:rPr>
                <m:t>0.642</m:t>
              </m:r>
            </m:oMath>
          </w:p>
        </w:tc>
        <w:tc>
          <w:tcPr>
            <w:tcW w:type="dxa" w:w="766"/>
          </w:tcPr>
          <w:p>
            <w:pPr>
              <w:pStyle w:val="Compact"/>
              <w:jc w:val="center"/>
            </w:pPr>
            <w:r>
              <w:rPr>
                <w:i/>
                <w:iCs/>
                <w:sz w:val="18"/>
                <w:szCs w:val="18"/>
              </w:rPr>
              <w:t xml:space="preserve">0.642</w:t>
            </w:r>
          </w:p>
        </w:tc>
      </w:tr>
      <w:tr>
        <w:tc>
          <w:tcPr>
            <w:tcW w:type="dxa" w:w="766"/>
          </w:tcPr>
          <w:p>
            <w:pPr>
              <w:pStyle w:val="Compact"/>
              <w:jc w:val="left"/>
            </w:pPr>
            <w:r>
              <w:rPr>
                <w:sz w:val="18"/>
                <w:szCs w:val="18"/>
              </w:rPr>
              <w:t xml:space="preserve">COIL-20</w:t>
            </w:r>
          </w:p>
        </w:tc>
        <w:tc>
          <w:tcPr>
            <w:tcW w:type="dxa" w:w="766"/>
          </w:tcPr>
          <w:p>
            <w:pPr>
              <w:pStyle w:val="Compact"/>
              <w:jc w:val="center"/>
            </w:pPr>
            <w:r>
              <w:rPr>
                <w:sz w:val="18"/>
                <w:szCs w:val="18"/>
              </w:rPr>
              <w:t xml:space="preserve">0.631</w:t>
            </w:r>
          </w:p>
        </w:tc>
        <w:tc>
          <w:tcPr>
            <w:tcW w:type="dxa" w:w="766"/>
          </w:tcPr>
          <w:p>
            <w:pPr>
              <w:pStyle w:val="Compact"/>
              <w:jc w:val="center"/>
            </w:pPr>
            <m:oMath>
              <m:r>
                <m:rPr>
                  <m:sty m:val="b"/>
                </m:rPr>
                <m:t>0.788</m:t>
              </m:r>
            </m:oMath>
          </w:p>
        </w:tc>
        <w:tc>
          <w:tcPr>
            <w:tcW w:type="dxa" w:w="766"/>
          </w:tcPr>
          <w:p>
            <w:pPr>
              <w:pStyle w:val="Compact"/>
              <w:jc w:val="center"/>
            </w:pPr>
            <w:r>
              <w:rPr>
                <w:sz w:val="18"/>
                <w:szCs w:val="18"/>
              </w:rPr>
              <w:t xml:space="preserve">0.754</w:t>
            </w:r>
          </w:p>
        </w:tc>
        <w:tc>
          <w:tcPr>
            <w:tcW w:type="dxa" w:w="766"/>
          </w:tcPr>
          <w:p>
            <w:pPr>
              <w:pStyle w:val="Compact"/>
              <w:jc w:val="center"/>
            </w:pPr>
            <w:r>
              <w:rPr>
                <w:sz w:val="18"/>
                <w:szCs w:val="18"/>
              </w:rPr>
              <w:t xml:space="preserve">0.754</w:t>
            </w:r>
          </w:p>
        </w:tc>
        <w:tc>
          <w:tcPr>
            <w:tcW w:type="dxa" w:w="766"/>
          </w:tcPr>
          <w:p>
            <w:pPr>
              <w:pStyle w:val="Compact"/>
              <w:jc w:val="center"/>
            </w:pPr>
            <w:r>
              <w:rPr>
                <w:i/>
                <w:iCs/>
                <w:sz w:val="18"/>
                <w:szCs w:val="18"/>
              </w:rPr>
              <w:t xml:space="preserve">0.789</w:t>
            </w:r>
          </w:p>
        </w:tc>
      </w:tr>
      <w:tr>
        <w:tc>
          <w:tcPr>
            <w:tcW w:type="dxa" w:w="766"/>
          </w:tcPr>
          <w:p>
            <w:pPr>
              <w:pStyle w:val="Compact"/>
              <w:jc w:val="left"/>
            </w:pPr>
            <w:r>
              <w:rPr>
                <w:sz w:val="18"/>
                <w:szCs w:val="18"/>
              </w:rPr>
              <w:t xml:space="preserve">Optdigits</w:t>
            </w:r>
          </w:p>
        </w:tc>
        <w:tc>
          <w:tcPr>
            <w:tcW w:type="dxa" w:w="766"/>
          </w:tcPr>
          <w:p>
            <w:pPr>
              <w:pStyle w:val="Compact"/>
              <w:jc w:val="center"/>
            </w:pPr>
            <m:oMath>
              <m:r>
                <m:rPr>
                  <m:sty m:val="b"/>
                </m:rPr>
                <m:t>0.861</m:t>
              </m:r>
            </m:oMath>
          </w:p>
        </w:tc>
        <w:tc>
          <w:tcPr>
            <w:tcW w:type="dxa" w:w="766"/>
          </w:tcPr>
          <w:p>
            <w:pPr>
              <w:pStyle w:val="Compact"/>
              <w:jc w:val="center"/>
            </w:pPr>
            <w:r>
              <w:rPr>
                <w:sz w:val="18"/>
                <w:szCs w:val="18"/>
              </w:rPr>
              <w:t xml:space="preserve">0.845</w:t>
            </w:r>
          </w:p>
        </w:tc>
        <w:tc>
          <w:tcPr>
            <w:tcW w:type="dxa" w:w="766"/>
          </w:tcPr>
          <w:p>
            <w:pPr>
              <w:pStyle w:val="Compact"/>
              <w:jc w:val="center"/>
            </w:pPr>
            <w:r>
              <w:rPr>
                <w:sz w:val="18"/>
                <w:szCs w:val="18"/>
              </w:rPr>
              <w:t xml:space="preserve">0.848</w:t>
            </w:r>
          </w:p>
        </w:tc>
        <w:tc>
          <w:tcPr>
            <w:tcW w:type="dxa" w:w="766"/>
          </w:tcPr>
          <w:p>
            <w:pPr>
              <w:pStyle w:val="Compact"/>
              <w:jc w:val="center"/>
            </w:pPr>
            <w:r>
              <w:rPr>
                <w:sz w:val="18"/>
                <w:szCs w:val="18"/>
              </w:rPr>
              <w:t xml:space="preserve">0.848</w:t>
            </w:r>
          </w:p>
        </w:tc>
        <w:tc>
          <w:tcPr>
            <w:tcW w:type="dxa" w:w="766"/>
          </w:tcPr>
          <w:p>
            <w:pPr>
              <w:pStyle w:val="Compact"/>
              <w:jc w:val="center"/>
            </w:pPr>
            <w:r>
              <w:rPr>
                <w:i/>
                <w:iCs/>
                <w:sz w:val="18"/>
                <w:szCs w:val="18"/>
              </w:rPr>
              <w:t xml:space="preserve">0.861</w:t>
            </w:r>
          </w:p>
        </w:tc>
      </w:tr>
      <w:tr>
        <w:tc>
          <w:tcPr>
            <w:tcW w:type="dxa" w:w="766"/>
          </w:tcPr>
          <w:p>
            <w:pPr>
              <w:pStyle w:val="Compact"/>
              <w:jc w:val="left"/>
            </w:pPr>
            <w:r>
              <w:rPr>
                <w:sz w:val="18"/>
                <w:szCs w:val="18"/>
              </w:rPr>
              <w:t xml:space="preserve">MFeat</w:t>
            </w:r>
          </w:p>
        </w:tc>
        <w:tc>
          <w:tcPr>
            <w:tcW w:type="dxa" w:w="766"/>
          </w:tcPr>
          <w:p>
            <w:pPr>
              <w:pStyle w:val="Compact"/>
              <w:jc w:val="center"/>
            </w:pPr>
            <w:r>
              <w:rPr>
                <w:sz w:val="18"/>
                <w:szCs w:val="18"/>
              </w:rPr>
              <w:t xml:space="preserve">0.926</w:t>
            </w:r>
          </w:p>
        </w:tc>
        <w:tc>
          <w:tcPr>
            <w:tcW w:type="dxa" w:w="766"/>
          </w:tcPr>
          <w:p>
            <w:pPr>
              <w:pStyle w:val="Compact"/>
              <w:jc w:val="center"/>
            </w:pPr>
            <w:r>
              <w:rPr>
                <w:sz w:val="18"/>
                <w:szCs w:val="18"/>
              </w:rPr>
              <w:t xml:space="preserve">0.903</w:t>
            </w:r>
          </w:p>
        </w:tc>
        <w:tc>
          <w:tcPr>
            <w:tcW w:type="dxa" w:w="766"/>
          </w:tcPr>
          <w:p>
            <w:pPr>
              <w:pStyle w:val="Compact"/>
              <w:jc w:val="center"/>
            </w:pPr>
            <m:oMath>
              <m:r>
                <m:rPr>
                  <m:sty m:val="b"/>
                </m:rPr>
                <m:t>0.939</m:t>
              </m:r>
            </m:oMath>
          </w:p>
        </w:tc>
        <w:tc>
          <w:tcPr>
            <w:tcW w:type="dxa" w:w="766"/>
          </w:tcPr>
          <w:p>
            <w:pPr>
              <w:pStyle w:val="Compact"/>
              <w:jc w:val="center"/>
            </w:pPr>
            <m:oMath>
              <m:r>
                <m:rPr>
                  <m:sty m:val="b"/>
                </m:rPr>
                <m:t>0.939</m:t>
              </m:r>
            </m:oMath>
          </w:p>
        </w:tc>
        <w:tc>
          <w:tcPr>
            <w:tcW w:type="dxa" w:w="766"/>
          </w:tcPr>
          <w:p>
            <w:pPr>
              <w:pStyle w:val="Compact"/>
              <w:jc w:val="center"/>
            </w:pPr>
            <w:r>
              <w:rPr>
                <w:i/>
                <w:iCs/>
                <w:sz w:val="18"/>
                <w:szCs w:val="18"/>
              </w:rPr>
              <w:t xml:space="preserve">0.939</w:t>
            </w:r>
          </w:p>
        </w:tc>
      </w:tr>
      <w:tr>
        <w:tc>
          <w:tcPr>
            <w:tcW w:type="dxa" w:w="766"/>
          </w:tcPr>
          <w:p>
            <w:pPr>
              <w:pStyle w:val="Compact"/>
              <w:jc w:val="left"/>
            </w:pPr>
            <w:r>
              <w:rPr>
                <w:sz w:val="18"/>
                <w:szCs w:val="18"/>
              </w:rPr>
              <w:t xml:space="preserve">Segment.</w:t>
            </w:r>
          </w:p>
        </w:tc>
        <w:tc>
          <w:tcPr>
            <w:tcW w:type="dxa" w:w="766"/>
          </w:tcPr>
          <w:p>
            <w:pPr>
              <w:pStyle w:val="Compact"/>
              <w:jc w:val="center"/>
            </w:pPr>
            <m:oMath>
              <m:r>
                <m:rPr>
                  <m:sty m:val="b"/>
                </m:rPr>
                <m:t>0.425</m:t>
              </m:r>
            </m:oMath>
          </w:p>
        </w:tc>
        <w:tc>
          <w:tcPr>
            <w:tcW w:type="dxa" w:w="766"/>
          </w:tcPr>
          <w:p>
            <w:pPr>
              <w:pStyle w:val="Compact"/>
              <w:jc w:val="center"/>
            </w:pPr>
            <w:r>
              <w:rPr>
                <w:sz w:val="18"/>
                <w:szCs w:val="18"/>
              </w:rPr>
              <w:t xml:space="preserve">0.344</w:t>
            </w:r>
          </w:p>
        </w:tc>
        <w:tc>
          <w:tcPr>
            <w:tcW w:type="dxa" w:w="766"/>
          </w:tcPr>
          <w:p>
            <w:pPr>
              <w:pStyle w:val="Compact"/>
              <w:jc w:val="center"/>
            </w:pPr>
            <w:r>
              <w:rPr>
                <w:sz w:val="18"/>
                <w:szCs w:val="18"/>
              </w:rPr>
              <w:t xml:space="preserve">0.387</w:t>
            </w:r>
          </w:p>
        </w:tc>
        <w:tc>
          <w:tcPr>
            <w:tcW w:type="dxa" w:w="766"/>
          </w:tcPr>
          <w:p>
            <w:pPr>
              <w:pStyle w:val="Compact"/>
              <w:jc w:val="center"/>
            </w:pPr>
            <w:r>
              <w:rPr>
                <w:sz w:val="18"/>
                <w:szCs w:val="18"/>
              </w:rPr>
              <w:t xml:space="preserve">0.413</w:t>
            </w:r>
          </w:p>
        </w:tc>
        <w:tc>
          <w:tcPr>
            <w:tcW w:type="dxa" w:w="766"/>
          </w:tcPr>
          <w:p>
            <w:pPr>
              <w:pStyle w:val="Compact"/>
              <w:jc w:val="center"/>
            </w:pPr>
            <w:r>
              <w:rPr>
                <w:i/>
                <w:iCs/>
                <w:sz w:val="18"/>
                <w:szCs w:val="18"/>
              </w:rPr>
              <w:t xml:space="preserve">0.437</w:t>
            </w:r>
          </w:p>
        </w:tc>
      </w:tr>
      <w:tr>
        <w:tc>
          <w:tcPr>
            <w:tcW w:type="dxa" w:w="766"/>
          </w:tcPr>
          <w:p>
            <w:pPr>
              <w:pStyle w:val="Compact"/>
              <w:jc w:val="left"/>
            </w:pPr>
            <w:r>
              <w:rPr>
                <w:sz w:val="18"/>
                <w:szCs w:val="18"/>
              </w:rPr>
              <w:t xml:space="preserve">ISOLET</w:t>
            </w:r>
          </w:p>
        </w:tc>
        <w:tc>
          <w:tcPr>
            <w:tcW w:type="dxa" w:w="766"/>
          </w:tcPr>
          <w:p>
            <w:pPr>
              <w:pStyle w:val="Compact"/>
              <w:jc w:val="center"/>
            </w:pPr>
            <w:r>
              <w:rPr>
                <w:sz w:val="18"/>
                <w:szCs w:val="18"/>
              </w:rPr>
              <w:t xml:space="preserve">0.460</w:t>
            </w:r>
          </w:p>
        </w:tc>
        <w:tc>
          <w:tcPr>
            <w:tcW w:type="dxa" w:w="766"/>
          </w:tcPr>
          <w:p>
            <w:pPr>
              <w:pStyle w:val="Compact"/>
              <w:jc w:val="center"/>
            </w:pPr>
            <m:oMath>
              <m:r>
                <m:rPr>
                  <m:sty m:val="b"/>
                </m:rPr>
                <m:t>0.514</m:t>
              </m:r>
            </m:oMath>
          </w:p>
        </w:tc>
        <w:tc>
          <w:tcPr>
            <w:tcW w:type="dxa" w:w="766"/>
          </w:tcPr>
          <w:p>
            <w:pPr>
              <w:pStyle w:val="Compact"/>
              <w:jc w:val="center"/>
            </w:pPr>
            <w:r>
              <w:rPr>
                <w:sz w:val="18"/>
                <w:szCs w:val="18"/>
              </w:rPr>
              <w:t xml:space="preserve">0.476</w:t>
            </w:r>
          </w:p>
        </w:tc>
        <w:tc>
          <w:tcPr>
            <w:tcW w:type="dxa" w:w="766"/>
          </w:tcPr>
          <w:p>
            <w:pPr>
              <w:pStyle w:val="Compact"/>
              <w:jc w:val="center"/>
            </w:pPr>
            <w:r>
              <w:rPr>
                <w:sz w:val="18"/>
                <w:szCs w:val="18"/>
              </w:rPr>
              <w:t xml:space="preserve">0.476</w:t>
            </w:r>
          </w:p>
        </w:tc>
        <w:tc>
          <w:tcPr>
            <w:tcW w:type="dxa" w:w="766"/>
          </w:tcPr>
          <w:p>
            <w:pPr>
              <w:pStyle w:val="Compact"/>
              <w:jc w:val="center"/>
            </w:pPr>
            <w:r>
              <w:rPr>
                <w:i/>
                <w:iCs/>
                <w:sz w:val="18"/>
                <w:szCs w:val="18"/>
              </w:rPr>
              <w:t xml:space="preserve">0.516</w:t>
            </w:r>
          </w:p>
        </w:tc>
      </w:tr>
      <w:tr>
        <w:tc>
          <w:tcPr>
            <w:tcW w:type="dxa" w:w="766"/>
          </w:tcPr>
          <w:p>
            <w:pPr>
              <w:pStyle w:val="Compact"/>
              <w:jc w:val="left"/>
            </w:pPr>
            <w:r>
              <w:rPr>
                <w:sz w:val="18"/>
                <w:szCs w:val="18"/>
              </w:rPr>
              <w:t xml:space="preserve">Satimage</w:t>
            </w:r>
          </w:p>
        </w:tc>
        <w:tc>
          <w:tcPr>
            <w:tcW w:type="dxa" w:w="766"/>
          </w:tcPr>
          <w:p>
            <w:pPr>
              <w:pStyle w:val="Compact"/>
              <w:jc w:val="center"/>
            </w:pPr>
            <w:r>
              <w:rPr>
                <w:sz w:val="18"/>
                <w:szCs w:val="18"/>
              </w:rPr>
              <w:t xml:space="preserve">0.462</w:t>
            </w:r>
          </w:p>
        </w:tc>
        <w:tc>
          <w:tcPr>
            <w:tcW w:type="dxa" w:w="766"/>
          </w:tcPr>
          <w:p>
            <w:pPr>
              <w:pStyle w:val="Compact"/>
              <w:jc w:val="center"/>
            </w:pPr>
            <w:r>
              <w:rPr>
                <w:sz w:val="18"/>
                <w:szCs w:val="18"/>
              </w:rPr>
              <w:t xml:space="preserve">0.318</w:t>
            </w:r>
          </w:p>
        </w:tc>
        <w:tc>
          <w:tcPr>
            <w:tcW w:type="dxa" w:w="766"/>
          </w:tcPr>
          <w:p>
            <w:pPr>
              <w:pStyle w:val="Compact"/>
              <w:jc w:val="center"/>
            </w:pPr>
            <w:r>
              <w:rPr>
                <w:sz w:val="18"/>
                <w:szCs w:val="18"/>
              </w:rPr>
              <w:t xml:space="preserve">0.516</w:t>
            </w:r>
          </w:p>
        </w:tc>
        <w:tc>
          <w:tcPr>
            <w:tcW w:type="dxa" w:w="766"/>
          </w:tcPr>
          <w:p>
            <w:pPr>
              <w:pStyle w:val="Compact"/>
              <w:jc w:val="center"/>
            </w:pPr>
            <m:oMath>
              <m:r>
                <m:rPr>
                  <m:sty m:val="b"/>
                </m:rPr>
                <m:t>0.525</m:t>
              </m:r>
            </m:oMath>
          </w:p>
        </w:tc>
        <w:tc>
          <w:tcPr>
            <w:tcW w:type="dxa" w:w="766"/>
          </w:tcPr>
          <w:p>
            <w:pPr>
              <w:pStyle w:val="Compact"/>
              <w:jc w:val="center"/>
            </w:pPr>
            <w:r>
              <w:rPr>
                <w:i/>
                <w:iCs/>
                <w:sz w:val="18"/>
                <w:szCs w:val="18"/>
              </w:rPr>
              <w:t xml:space="preserve">0.541</w:t>
            </w:r>
          </w:p>
        </w:tc>
      </w:tr>
      <w:tr>
        <w:tc>
          <w:tcPr>
            <w:tcW w:type="dxa" w:w="766"/>
          </w:tcPr>
          <w:p>
            <w:pPr>
              <w:pStyle w:val="Compact"/>
              <w:jc w:val="left"/>
            </w:pPr>
            <w:r>
              <w:rPr>
                <w:sz w:val="18"/>
                <w:szCs w:val="18"/>
              </w:rPr>
              <w:t xml:space="preserve">USPS</w:t>
            </w:r>
          </w:p>
        </w:tc>
        <w:tc>
          <w:tcPr>
            <w:tcW w:type="dxa" w:w="766"/>
          </w:tcPr>
          <w:p>
            <w:pPr>
              <w:pStyle w:val="Compact"/>
              <w:jc w:val="center"/>
            </w:pPr>
            <w:r>
              <w:rPr>
                <w:sz w:val="18"/>
                <w:szCs w:val="18"/>
              </w:rPr>
              <w:t xml:space="preserve">0.858</w:t>
            </w:r>
          </w:p>
        </w:tc>
        <w:tc>
          <w:tcPr>
            <w:tcW w:type="dxa" w:w="766"/>
          </w:tcPr>
          <w:p>
            <w:pPr>
              <w:pStyle w:val="Compact"/>
              <w:jc w:val="center"/>
            </w:pPr>
            <w:r>
              <w:rPr>
                <w:sz w:val="18"/>
                <w:szCs w:val="18"/>
              </w:rPr>
              <w:t xml:space="preserve">0.669</w:t>
            </w:r>
          </w:p>
        </w:tc>
        <w:tc>
          <w:tcPr>
            <w:tcW w:type="dxa" w:w="766"/>
          </w:tcPr>
          <w:p>
            <w:pPr>
              <w:pStyle w:val="Compact"/>
              <w:jc w:val="center"/>
            </w:pPr>
            <m:oMath>
              <m:r>
                <m:rPr>
                  <m:sty m:val="b"/>
                </m:rPr>
                <m:t>0.900</m:t>
              </m:r>
            </m:oMath>
          </w:p>
        </w:tc>
        <w:tc>
          <w:tcPr>
            <w:tcW w:type="dxa" w:w="766"/>
          </w:tcPr>
          <w:p>
            <w:pPr>
              <w:pStyle w:val="Compact"/>
              <w:jc w:val="center"/>
            </w:pPr>
            <w:r>
              <w:rPr>
                <w:sz w:val="18"/>
                <w:szCs w:val="18"/>
              </w:rPr>
              <w:t xml:space="preserve">0.871</w:t>
            </w:r>
          </w:p>
        </w:tc>
        <w:tc>
          <w:tcPr>
            <w:tcW w:type="dxa" w:w="766"/>
          </w:tcPr>
          <w:p>
            <w:pPr>
              <w:pStyle w:val="Compact"/>
              <w:jc w:val="center"/>
            </w:pPr>
            <w:r>
              <w:rPr>
                <w:i/>
                <w:iCs/>
                <w:sz w:val="18"/>
                <w:szCs w:val="18"/>
              </w:rPr>
              <w:t xml:space="preserve">0.900</w:t>
            </w:r>
          </w:p>
        </w:tc>
      </w:tr>
      <w:tr>
        <w:tc>
          <w:tcPr>
            <w:tcW w:type="dxa" w:w="766"/>
          </w:tcPr>
          <w:p>
            <w:pPr>
              <w:pStyle w:val="Compact"/>
              <w:jc w:val="left"/>
            </w:pPr>
            <w:r>
              <w:rPr>
                <w:sz w:val="18"/>
                <w:szCs w:val="18"/>
              </w:rPr>
              <w:t xml:space="preserve">PenDigits</w:t>
            </w:r>
          </w:p>
        </w:tc>
        <w:tc>
          <w:tcPr>
            <w:tcW w:type="dxa" w:w="766"/>
          </w:tcPr>
          <w:p>
            <w:pPr>
              <w:pStyle w:val="Compact"/>
              <w:jc w:val="center"/>
            </w:pPr>
            <w:r>
              <w:rPr>
                <w:sz w:val="18"/>
                <w:szCs w:val="18"/>
              </w:rPr>
              <w:t xml:space="preserve">0.759</w:t>
            </w:r>
          </w:p>
        </w:tc>
        <w:tc>
          <w:tcPr>
            <w:tcW w:type="dxa" w:w="766"/>
          </w:tcPr>
          <w:p>
            <w:pPr>
              <w:pStyle w:val="Compact"/>
              <w:jc w:val="center"/>
            </w:pPr>
            <w:r>
              <w:rPr>
                <w:sz w:val="18"/>
                <w:szCs w:val="18"/>
              </w:rPr>
              <w:t xml:space="preserve">0.617</w:t>
            </w:r>
          </w:p>
        </w:tc>
        <w:tc>
          <w:tcPr>
            <w:tcW w:type="dxa" w:w="766"/>
          </w:tcPr>
          <w:p>
            <w:pPr>
              <w:pStyle w:val="Compact"/>
              <w:jc w:val="center"/>
            </w:pPr>
            <m:oMath>
              <m:r>
                <m:rPr>
                  <m:sty m:val="b"/>
                </m:rPr>
                <m:t>0.819</m:t>
              </m:r>
            </m:oMath>
          </w:p>
        </w:tc>
        <w:tc>
          <w:tcPr>
            <w:tcW w:type="dxa" w:w="766"/>
          </w:tcPr>
          <w:p>
            <w:pPr>
              <w:pStyle w:val="Compact"/>
              <w:jc w:val="center"/>
            </w:pPr>
            <w:r>
              <w:rPr>
                <w:sz w:val="18"/>
                <w:szCs w:val="18"/>
              </w:rPr>
              <w:t xml:space="preserve">0.811</w:t>
            </w:r>
          </w:p>
        </w:tc>
        <w:tc>
          <w:tcPr>
            <w:tcW w:type="dxa" w:w="766"/>
          </w:tcPr>
          <w:p>
            <w:pPr>
              <w:pStyle w:val="Compact"/>
              <w:jc w:val="center"/>
            </w:pPr>
            <w:r>
              <w:rPr>
                <w:i/>
                <w:iCs/>
                <w:sz w:val="18"/>
                <w:szCs w:val="18"/>
              </w:rPr>
              <w:t xml:space="preserve">0.819</w:t>
            </w:r>
          </w:p>
        </w:tc>
      </w:tr>
      <w:tr>
        <w:tc>
          <w:tcPr>
            <w:tcW w:type="dxa" w:w="766"/>
          </w:tcPr>
          <w:p>
            <w:pPr>
              <w:pStyle w:val="Compact"/>
              <w:jc w:val="left"/>
            </w:pPr>
            <w:r>
              <w:rPr>
                <w:b/>
                <w:bCs/>
                <w:sz w:val="18"/>
                <w:szCs w:val="18"/>
              </w:rPr>
              <w:t xml:space="preserve">Mean</w:t>
            </w:r>
          </w:p>
        </w:tc>
        <w:tc>
          <w:tcPr>
            <w:tcW w:type="dxa" w:w="766"/>
          </w:tcPr>
          <w:p>
            <w:pPr>
              <w:pStyle w:val="Compact"/>
              <w:jc w:val="center"/>
            </w:pPr>
            <w:r>
              <w:rPr>
                <w:sz w:val="18"/>
                <w:szCs w:val="18"/>
              </w:rPr>
              <w:t xml:space="preserve">0.580</w:t>
            </w:r>
          </w:p>
        </w:tc>
        <w:tc>
          <w:tcPr>
            <w:tcW w:type="dxa" w:w="766"/>
          </w:tcPr>
          <w:p>
            <w:pPr>
              <w:pStyle w:val="Compact"/>
              <w:jc w:val="center"/>
            </w:pPr>
            <w:r>
              <w:rPr>
                <w:sz w:val="18"/>
                <w:szCs w:val="18"/>
              </w:rPr>
              <w:t xml:space="preserve">0.563</w:t>
            </w:r>
          </w:p>
        </w:tc>
        <w:tc>
          <w:tcPr>
            <w:tcW w:type="dxa" w:w="766"/>
          </w:tcPr>
          <w:p>
            <w:pPr>
              <w:pStyle w:val="Compact"/>
              <w:jc w:val="center"/>
            </w:pPr>
            <w:r>
              <w:rPr>
                <w:sz w:val="18"/>
                <w:szCs w:val="18"/>
              </w:rPr>
              <w:t xml:space="preserve">0.631</w:t>
            </w:r>
          </w:p>
        </w:tc>
        <w:tc>
          <w:tcPr>
            <w:tcW w:type="dxa" w:w="766"/>
          </w:tcPr>
          <w:p>
            <w:pPr>
              <w:pStyle w:val="Compact"/>
              <w:jc w:val="center"/>
            </w:pPr>
            <w:r>
              <w:rPr>
                <w:b/>
                <w:bCs/>
                <w:sz w:val="18"/>
                <w:szCs w:val="18"/>
              </w:rPr>
              <w:t xml:space="preserve">0.623</w:t>
            </w:r>
          </w:p>
        </w:tc>
        <w:tc>
          <w:tcPr>
            <w:tcW w:type="dxa" w:w="766"/>
          </w:tcPr>
          <w:p>
            <w:pPr>
              <w:pStyle w:val="Compact"/>
              <w:jc w:val="center"/>
            </w:pPr>
            <w:r>
              <w:rPr>
                <w:i/>
                <w:iCs/>
                <w:sz w:val="18"/>
                <w:szCs w:val="18"/>
              </w:rPr>
              <w:t xml:space="preserve">0.646</w:t>
            </w:r>
          </w:p>
        </w:tc>
      </w:tr>
    </w:tbl>
    <w:bookmarkEnd w:id="54"/>
    <w:bookmarkStart w:id="67" w:name="fig:main_results"/>
    <w:tbl>
      <w:tblPr>
        <w:tblStyle w:val="FigureTable"/>
        <w:tblW w:type="dxa" w:w="4597"/>
        <w:jc w:val="center"/>
        <w:tblLook w:firstRow="0" w:lastRow="0" w:firstColumn="0" w:lastColumn="0"/>
        <w:tblLayout w:type="fixed"/>
      </w:tblPr>
      <w:tblGrid>
        <w:gridCol w:w="4597"/>
      </w:tblGrid>
      <w:tr>
        <w:tc>
          <w:tcPr>
            <w:tcW w:type="dxa" w:w="4597"/>
          </w:tcPr>
          <w:tbl>
            <w:tblPr>
              <w:tblStyle w:val="Table"/>
              <w:tblW w:type="dxa" w:w="4596"/>
              <w:tblLook w:firstRow="0" w:lastRow="0" w:firstColumn="0" w:lastColumn="0" w:noHBand="0" w:noVBand="0" w:val="0000"/>
              <w:tblLayout w:type="fixed"/>
            </w:tblPr>
            <w:tblGrid>
              <w:gridCol w:w="2298"/>
              <w:gridCol w:w="2298"/>
            </w:tblGrid>
            <w:tr>
              <w:tc>
                <w:tcPr>
                  <w:tcW w:type="dxa" w:w="2298"/>
                </w:tcPr>
                <w:p>
                  <w:pPr>
                    <w:pStyle w:val="Compact"/>
                    <w:jc w:val="center"/>
                    <w:jc w:val="center"/>
                  </w:pPr>
                  <w:r>
                    <w:drawing>
                      <wp:inline>
                        <wp:extent cx="1383030" cy="1051678"/>
                        <wp:effectExtent b="0" l="0" r="0" t="0"/>
                        <wp:docPr descr="image" title="" id="56" name="Picture"/>
                        <a:graphic>
                          <a:graphicData uri="http://schemas.openxmlformats.org/drawingml/2006/picture">
                            <pic:pic>
                              <pic:nvPicPr>
                                <pic:cNvPr descr="figures/cross_dataset/cross_dataset_characteristics.png" id="57" name="Picture"/>
                                <pic:cNvPicPr>
                                  <a:picLocks noChangeArrowheads="1" noChangeAspect="1"/>
                                </pic:cNvPicPr>
                              </pic:nvPicPr>
                              <pic:blipFill>
                                <a:blip r:embed="rId55"/>
                                <a:stretch>
                                  <a:fillRect/>
                                </a:stretch>
                              </pic:blipFill>
                              <pic:spPr bwMode="auto">
                                <a:xfrm>
                                  <a:off x="0" y="0"/>
                                  <a:ext cx="1383030" cy="1051678"/>
                                </a:xfrm>
                                <a:prstGeom prst="rect">
                                  <a:avLst/>
                                </a:prstGeom>
                                <a:noFill/>
                                <a:ln w="9525">
                                  <a:noFill/>
                                  <a:headEnd/>
                                  <a:tailEnd/>
                                </a:ln>
                              </pic:spPr>
                            </pic:pic>
                          </a:graphicData>
                        </a:graphic>
                      </wp:inline>
                    </w:drawing>
                  </w:r>
                </w:p>
              </w:tc>
              <w:tc>
                <w:tcPr>
                  <w:tcW w:type="dxa" w:w="2298"/>
                </w:tcPr>
                <w:p>
                  <w:pPr>
                    <w:pStyle w:val="Compact"/>
                    <w:jc w:val="center"/>
                    <w:jc w:val="center"/>
                  </w:pPr>
                  <w:r>
                    <w:drawing>
                      <wp:inline>
                        <wp:extent cx="1383030" cy="700200"/>
                        <wp:effectExtent b="0" l="0" r="0" t="0"/>
                        <wp:docPr descr="image" title="" id="59" name="Picture"/>
                        <a:graphic>
                          <a:graphicData uri="http://schemas.openxmlformats.org/drawingml/2006/picture">
                            <pic:pic>
                              <pic:nvPicPr>
                                <pic:cNvPr descr="figures/cross_dataset/cross_ari_comparison.png" id="60" name="Picture"/>
                                <pic:cNvPicPr>
                                  <a:picLocks noChangeArrowheads="1" noChangeAspect="1"/>
                                </pic:cNvPicPr>
                              </pic:nvPicPr>
                              <pic:blipFill>
                                <a:blip r:embed="rId58"/>
                                <a:stretch>
                                  <a:fillRect/>
                                </a:stretch>
                              </pic:blipFill>
                              <pic:spPr bwMode="auto">
                                <a:xfrm>
                                  <a:off x="0" y="0"/>
                                  <a:ext cx="1383030" cy="700200"/>
                                </a:xfrm>
                                <a:prstGeom prst="rect">
                                  <a:avLst/>
                                </a:prstGeom>
                                <a:noFill/>
                                <a:ln w="9525">
                                  <a:noFill/>
                                  <a:headEnd/>
                                  <a:tailEnd/>
                                </a:ln>
                              </pic:spPr>
                            </pic:pic>
                          </a:graphicData>
                        </a:graphic>
                      </wp:inline>
                    </w:drawing>
                  </w:r>
                </w:p>
              </w:tc>
            </w:tr>
            <w:tr>
              <w:tc>
                <w:tcPr>
                  <w:tcW w:type="dxa" w:w="2298"/>
                </w:tcPr>
                <w:p>
                  <w:pPr>
                    <w:pStyle w:val="Compact"/>
                    <w:jc w:val="center"/>
                    <w:jc w:val="center"/>
                  </w:pPr>
                  <w:r>
                    <w:t xml:space="preserve">(a) Dataset characteristics (</w:t>
                  </w:r>
                  <m:oMath>
                    <m:r>
                      <m:t>n</m:t>
                    </m:r>
                  </m:oMath>
                  <w:r>
                    <w:t xml:space="preserve">,</w:t>
                  </w:r>
                  <w:r>
                    <w:t xml:space="preserve"> </w:t>
                  </w:r>
                  <m:oMath>
                    <m:r>
                      <m:t>d</m:t>
                    </m:r>
                  </m:oMath>
                  <w:r>
                    <w:t xml:space="preserve">)</w:t>
                  </w:r>
                </w:p>
              </w:tc>
              <w:tc>
                <w:tcPr>
                  <w:tcW w:type="dxa" w:w="2298"/>
                </w:tcPr>
                <w:p>
                  <w:pPr>
                    <w:pStyle w:val="Compact"/>
                    <w:jc w:val="center"/>
                    <w:jc w:val="center"/>
                  </w:pPr>
                  <w:r>
                    <w:t xml:space="preserve">(b) ARI comparison: Baseline vs. DEAC</w:t>
                  </w:r>
                </w:p>
              </w:tc>
            </w:tr>
            <w:tr>
              <w:tc>
                <w:tcPr>
                  <w:tcW w:type="dxa" w:w="2298"/>
                </w:tcPr>
                <w:p>
                  <w:pPr>
                    <w:pStyle w:val="Compact"/>
                    <w:jc w:val="center"/>
                    <w:jc w:val="center"/>
                  </w:pPr>
                  <w:r>
                    <w:drawing>
                      <wp:inline>
                        <wp:extent cx="1383030" cy="700200"/>
                        <wp:effectExtent b="0" l="0" r="0" t="0"/>
                        <wp:docPr descr="image" title="" id="62" name="Picture"/>
                        <a:graphic>
                          <a:graphicData uri="http://schemas.openxmlformats.org/drawingml/2006/picture">
                            <pic:pic>
                              <pic:nvPicPr>
                                <pic:cNvPr descr="figures/cross_dataset/cross_qualitygate_summary.png" id="63" name="Picture"/>
                                <pic:cNvPicPr>
                                  <a:picLocks noChangeArrowheads="1" noChangeAspect="1"/>
                                </pic:cNvPicPr>
                              </pic:nvPicPr>
                              <pic:blipFill>
                                <a:blip r:embed="rId61"/>
                                <a:stretch>
                                  <a:fillRect/>
                                </a:stretch>
                              </pic:blipFill>
                              <pic:spPr bwMode="auto">
                                <a:xfrm>
                                  <a:off x="0" y="0"/>
                                  <a:ext cx="1383030" cy="700200"/>
                                </a:xfrm>
                                <a:prstGeom prst="rect">
                                  <a:avLst/>
                                </a:prstGeom>
                                <a:noFill/>
                                <a:ln w="9525">
                                  <a:noFill/>
                                  <a:headEnd/>
                                  <a:tailEnd/>
                                </a:ln>
                              </pic:spPr>
                            </pic:pic>
                          </a:graphicData>
                        </a:graphic>
                      </wp:inline>
                    </w:drawing>
                  </w:r>
                </w:p>
              </w:tc>
              <w:tc>
                <w:tcPr>
                  <w:tcW w:type="dxa" w:w="2298"/>
                </w:tcPr>
                <w:p>
                  <w:pPr>
                    <w:pStyle w:val="Compact"/>
                    <w:jc w:val="center"/>
                    <w:jc w:val="center"/>
                  </w:pPr>
                  <w:r>
                    <w:drawing>
                      <wp:inline>
                        <wp:extent cx="1383030" cy="1083651"/>
                        <wp:effectExtent b="0" l="0" r="0" t="0"/>
                        <wp:docPr descr="image" title="" id="65" name="Picture"/>
                        <a:graphic>
                          <a:graphicData uri="http://schemas.openxmlformats.org/drawingml/2006/picture">
                            <pic:pic>
                              <pic:nvPicPr>
                                <pic:cNvPr descr="figures/cross_dataset/cross_improvement_heatmap.png" id="66" name="Picture"/>
                                <pic:cNvPicPr>
                                  <a:picLocks noChangeArrowheads="1" noChangeAspect="1"/>
                                </pic:cNvPicPr>
                              </pic:nvPicPr>
                              <pic:blipFill>
                                <a:blip r:embed="rId64"/>
                                <a:stretch>
                                  <a:fillRect/>
                                </a:stretch>
                              </pic:blipFill>
                              <pic:spPr bwMode="auto">
                                <a:xfrm>
                                  <a:off x="0" y="0"/>
                                  <a:ext cx="1383030" cy="1083651"/>
                                </a:xfrm>
                                <a:prstGeom prst="rect">
                                  <a:avLst/>
                                </a:prstGeom>
                                <a:noFill/>
                                <a:ln w="9525">
                                  <a:noFill/>
                                  <a:headEnd/>
                                  <a:tailEnd/>
                                </a:ln>
                              </pic:spPr>
                            </pic:pic>
                          </a:graphicData>
                        </a:graphic>
                      </wp:inline>
                    </w:drawing>
                  </w:r>
                </w:p>
              </w:tc>
            </w:tr>
            <w:tr>
              <w:tc>
                <w:tcPr>
                  <w:tcW w:type="dxa" w:w="2298"/>
                </w:tcPr>
                <w:p>
                  <w:pPr>
                    <w:pStyle w:val="Compact"/>
                    <w:jc w:val="center"/>
                    <w:jc w:val="center"/>
                  </w:pPr>
                  <w:r>
                    <w:t xml:space="preserve">(c) QualityGate activation per dataset</w:t>
                  </w:r>
                </w:p>
              </w:tc>
              <w:tc>
                <w:tcPr>
                  <w:tcW w:type="dxa" w:w="2298"/>
                </w:tcPr>
                <w:p>
                  <w:pPr>
                    <w:pStyle w:val="Compact"/>
                    <w:jc w:val="center"/>
                    <w:jc w:val="center"/>
                  </w:pPr>
                  <w:r>
                    <w:t xml:space="preserve">(d)</w:t>
                  </w:r>
                  <w:r>
                    <w:t xml:space="preserve"> </w:t>
                  </w:r>
                  <m:oMath>
                    <m:r>
                      <m:rPr>
                        <m:sty m:val="p"/>
                      </m:rPr>
                      <m:t>Δ</m:t>
                    </m:r>
                  </m:oMath>
                  <w:r>
                    <w:t xml:space="preserve"> </w:t>
                  </w:r>
                  <w:r>
                    <w:t xml:space="preserve">heatmap: DEAC</w:t>
                  </w:r>
                  <w:r>
                    <w:t xml:space="preserve"> </w:t>
                  </w:r>
                  <m:oMath>
                    <m:r>
                      <m:rPr>
                        <m:sty m:val="p"/>
                      </m:rPr>
                      <m:t>−</m:t>
                    </m:r>
                  </m:oMath>
                  <w:r>
                    <w:t xml:space="preserve"> </w:t>
                  </w:r>
                  <w:r>
                    <w:t xml:space="preserve">Baseline (sorted by</w:t>
                  </w:r>
                  <w:r>
                    <w:t xml:space="preserve"> </w:t>
                  </w:r>
                  <m:oMath>
                    <m:r>
                      <m:rPr>
                        <m:sty m:val="p"/>
                      </m:rPr>
                      <m:t>Δ</m:t>
                    </m:r>
                  </m:oMath>
                  <w:r>
                    <w:t xml:space="preserve">ARI)</w:t>
                  </w:r>
                </w:p>
              </w:tc>
            </w:tr>
          </w:tbl>
          <w:p/>
        </w:tc>
      </w:tr>
    </w:tbl>
    <w:p>
      <w:pPr>
        <w:pStyle w:val="ImageCaption"/>
        <w:jc w:val="center"/>
      </w:pPr>
      <w:r>
        <w:rPr>
          <w:rFonts w:ascii="Times New Roman" w:hAnsi="Times New Roman" w:cs="Times New Roman"/>
          <w:color w:val="000000"/>
          <w:sz w:val="20"/>
        </w:rPr>
        <w:t xml:space="preserve">Fig. 6. </w:t>
      </w:r>
      <w:r>
        <w:rPr>
          <w:rFonts w:ascii="Times New Roman" w:hAnsi="Times New Roman" w:cs="Times New Roman"/>
          <w:color w:val="000000"/>
          <w:sz w:val="20"/>
        </w:rPr>
        <w:t xml:space="preserve">Main experimental results. (a) Size and dimensionality of the 12 benchmark datasets. (b) Per-dataset ARI of Baseline versus DEAC. (c) Per-dataset QualityGate activation. (d) Multi-metric improvement heatmap, with datasets sorted by</w:t>
      </w:r>
      <w:r>
        <w:rPr>
          <w:rFonts w:ascii="Times New Roman" w:hAnsi="Times New Roman" w:cs="Times New Roman"/>
          <w:color w:val="000000"/>
          <w:sz w:val="20"/>
        </w:rPr>
        <w:t xml:space="preserve"> </w:t>
      </w:r>
      <m:oMath>
        <m:r>
          <m:rPr>
            <m:sty m:val="p"/>
          </m:rPr>
          <m:t>Δ</m:t>
        </m:r>
      </m:oMath>
      <w:r>
        <w:rPr>
          <w:rFonts w:ascii="Times New Roman" w:hAnsi="Times New Roman" w:cs="Times New Roman"/>
          <w:color w:val="000000"/>
          <w:sz w:val="20"/>
        </w:rPr>
        <w:t xml:space="preserve">ARI descending; blue cells indicate DEAC gains over the Baseline.</w:t>
      </w:r>
    </w:p>
    <w:bookmarkEnd w:id="67"/>
    <w:bookmarkEnd w:id="68"/>
    <w:bookmarkStart w:id="70" w:name="comparison-with-traditional-benchmarks"/>
    <w:p>
      <w:pPr>
        <w:pStyle w:val="Heading2"/>
        <w:jc w:val="left"/>
      </w:pPr>
      <w:r>
        <w:rPr>
          <w:rFonts w:ascii="Times New Roman" w:hAnsi="Times New Roman" w:cs="Times New Roman"/>
          <w:b/>
          <w:color w:val="C00000"/>
          <w:sz w:val="22"/>
        </w:rPr>
        <w:t>Comparison with Traditional Benchmarks</w:t>
      </w:r>
    </w:p>
    <w:p>
      <w:pPr>
        <w:pStyle w:val="FirstParagraph"/>
        <w:spacing w:before="0" w:after="0" w:line="240" w:lineRule="auto"/>
        <w:ind w:firstLine="330"/>
        <w:jc w:val="both"/>
      </w:pPr>
      <w:r>
        <w:rPr>
          <w:color w:val="C00000"/>
        </w:rPr>
        <w:t xml:space="preserve">Table </w:t>
      </w:r>
      <w:hyperlink w:anchor="tab:benchmarks">
        <w:r>
          <w:rPr>
            <w:rStyle w:val="Hyperlink"/>
          </w:rPr>
          <w:t xml:space="preserve">6</w:t>
        </w:r>
      </w:hyperlink>
      <w:r>
        <w:rPr>
          <w:color w:val="C00000"/>
        </w:rPr>
        <w:t xml:space="preserve"> </w:t>
      </w:r>
      <w:r>
        <w:rPr>
          <w:color w:val="C00000"/>
        </w:rPr>
        <w:t xml:space="preserve">pits DEAC against five widely used clustering algorithms. For a fair comparison, no method is given the ground-truth cluster count: each classical baseline selects its own</w:t>
      </w:r>
      <w:r>
        <w:rPr>
          <w:color w:val="C00000"/>
        </w:rPr>
        <w:t xml:space="preserve"> </w:t>
      </w:r>
      <m:oMath>
        <m:r>
          <m:t>C</m:t>
        </m:r>
      </m:oMath>
      <w:r>
        <w:rPr>
          <w:color w:val="C00000"/>
        </w:rPr>
        <w:t xml:space="preserve"> </w:t>
      </w:r>
      <w:r>
        <w:rPr>
          <w:color w:val="C00000"/>
        </w:rPr>
        <w:t xml:space="preserve">by silhouette analysis over a label-free grid (on the same UMAP representation), exactly as DEAC infers</w:t>
      </w:r>
      <w:r>
        <w:rPr>
          <w:color w:val="C00000"/>
        </w:rPr>
        <w:t xml:space="preserve"> </w:t>
      </w:r>
      <m:oMath>
        <m:r>
          <m:t>C</m:t>
        </m:r>
      </m:oMath>
      <w:r>
        <w:rPr>
          <w:color w:val="C00000"/>
        </w:rPr>
        <w:t xml:space="preserve"> </w:t>
      </w:r>
      <w:r>
        <w:rPr>
          <w:color w:val="C00000"/>
        </w:rPr>
        <w:t xml:space="preserve">through its QualityGate. This protocol is stricter than handing the baselines a known or DEAC-supplied</w:t>
      </w:r>
      <w:r>
        <w:rPr>
          <w:color w:val="C00000"/>
        </w:rPr>
        <w:t xml:space="preserve"> </w:t>
      </w:r>
      <m:oMath>
        <m:sSup>
          <m:e>
            <m:r>
              <m:t>C</m:t>
            </m:r>
          </m:e>
          <m:sup>
            <m:r>
              <m:rPr>
                <m:sty m:val="p"/>
              </m:rPr>
              <m:t>*</m:t>
            </m:r>
          </m:sup>
        </m:sSup>
      </m:oMath>
      <w:r>
        <w:rPr>
          <w:color w:val="C00000"/>
        </w:rPr>
        <w:t xml:space="preserve">, and it exposes how much each method’s quality depends on recovering</w:t>
      </w:r>
      <w:r>
        <w:rPr>
          <w:color w:val="C00000"/>
        </w:rPr>
        <w:t xml:space="preserve"> </w:t>
      </w:r>
      <m:oMath>
        <m:r>
          <m:t>C</m:t>
        </m:r>
      </m:oMath>
      <w:r>
        <w:rPr>
          <w:color w:val="C00000"/>
        </w:rPr>
        <w:t xml:space="preserve"> </w:t>
      </w:r>
      <w:r>
        <w:rPr>
          <w:color w:val="C00000"/>
        </w:rPr>
        <w:t xml:space="preserve">unaided.</w:t>
      </w:r>
    </w:p>
    <w:bookmarkStart w:id="69" w:name="tab:benchmarks"/>
    <w:p>
      <w:pPr>
        <w:pStyle w:val="TableCaption"/>
        <w:jc w:val="center"/>
      </w:pPr>
      <w:r>
        <w:rPr>
          <w:rFonts w:ascii="Times New Roman" w:hAnsi="Times New Roman" w:cs="Times New Roman"/>
          <w:color w:val="000000"/>
          <w:sz w:val="20"/>
        </w:rPr>
        <w:t xml:space="preserve">Table 6. </w:t>
      </w:r>
      <w:r>
        <w:rPr>
          <w:rFonts w:ascii="Times New Roman" w:hAnsi="Times New Roman" w:cs="Times New Roman"/>
          <w:color w:val="000000"/>
          <w:sz w:val="20"/>
        </w:rPr>
        <w:t xml:space="preserve">ARI vs. classical methods with automatic cluster-count selection (no method is given</w:t>
      </w:r>
      <w:r>
        <w:rPr>
          <w:rFonts w:ascii="Times New Roman" w:hAnsi="Times New Roman" w:cs="Times New Roman"/>
          <w:color w:val="000000"/>
          <w:sz w:val="20"/>
        </w:rPr>
        <w:t xml:space="preserve"> </w:t>
      </w:r>
      <m:oMath>
        <m:r>
          <m:t>C</m:t>
        </m:r>
      </m:oMath>
      <w:r>
        <w:rPr>
          <w:rFonts w:ascii="Times New Roman" w:hAnsi="Times New Roman" w:cs="Times New Roman"/>
          <w:color w:val="000000"/>
          <w:sz w:val="20"/>
        </w:rPr>
        <w:t xml:space="preserve">). Mean over 5 seeds; DEAC is the deployable gate. Bold = best per row.</w:t>
      </w:r>
    </w:p>
    <w:tbl>
      <w:tblPr>
        <w:tblStyle w:val="Table"/>
        <w:tblW w:type="dxa" w:w="4592"/>
        <w:tblLook w:firstRow="1" w:lastRow="0" w:firstColumn="0" w:lastColumn="0" w:noHBand="0" w:noVBand="0" w:val="0020"/>
        <w:tblCaption w:val="ARI vs. classical methods with automatic cluster-count selection (no method is given C). Mean over 5 seeds; DEAC is the deployable gate. Bold = best per row."/>
        <w:tblLayout w:type="fixed"/>
      </w:tblPr>
      <w:tblGrid>
        <w:gridCol w:w="656"/>
        <w:gridCol w:w="656"/>
        <w:gridCol w:w="656"/>
        <w:gridCol w:w="656"/>
        <w:gridCol w:w="656"/>
        <w:gridCol w:w="656"/>
        <w:gridCol w:w="656"/>
      </w:tblGrid>
      <w:tr>
        <w:trPr>
          <w:tblHeader w:val="on"/>
        </w:trPr>
        <w:tc>
          <w:tcPr>
            <w:tcW w:type="dxa" w:w="656"/>
          </w:tcPr>
          <w:p>
            <w:pPr>
              <w:pStyle w:val="Compact"/>
              <w:jc w:val="left"/>
            </w:pPr>
            <w:r>
              <w:rPr>
                <w:sz w:val="16"/>
                <w:szCs w:val="16"/>
              </w:rPr>
              <w:t xml:space="preserve">Dataset</w:t>
            </w:r>
          </w:p>
        </w:tc>
        <w:tc>
          <w:tcPr>
            <w:tcW w:type="dxa" w:w="656"/>
          </w:tcPr>
          <w:p>
            <w:pPr>
              <w:pStyle w:val="Compact"/>
              <w:jc w:val="center"/>
            </w:pPr>
            <w:r>
              <w:rPr>
                <w:b/>
                <w:bCs/>
                <w:sz w:val="16"/>
                <w:szCs w:val="16"/>
              </w:rPr>
              <w:t xml:space="preserve">DEAC</w:t>
            </w:r>
          </w:p>
        </w:tc>
        <w:tc>
          <w:tcPr>
            <w:tcW w:type="dxa" w:w="656"/>
          </w:tcPr>
          <w:p>
            <w:pPr>
              <w:pStyle w:val="Compact"/>
              <w:jc w:val="center"/>
            </w:pPr>
            <w:r>
              <w:rPr>
                <w:sz w:val="16"/>
                <w:szCs w:val="16"/>
              </w:rPr>
              <w:t xml:space="preserve">KMeans</w:t>
            </w:r>
          </w:p>
        </w:tc>
        <w:tc>
          <w:tcPr>
            <w:tcW w:type="dxa" w:w="656"/>
          </w:tcPr>
          <w:p>
            <w:pPr>
              <w:pStyle w:val="Compact"/>
              <w:jc w:val="center"/>
            </w:pPr>
            <w:r>
              <w:rPr>
                <w:sz w:val="16"/>
                <w:szCs w:val="16"/>
              </w:rPr>
              <w:t xml:space="preserve">Spectral</w:t>
            </w:r>
          </w:p>
        </w:tc>
        <w:tc>
          <w:tcPr>
            <w:tcW w:type="dxa" w:w="656"/>
          </w:tcPr>
          <w:p>
            <w:pPr>
              <w:pStyle w:val="Compact"/>
              <w:jc w:val="center"/>
            </w:pPr>
            <w:r>
              <w:rPr>
                <w:sz w:val="16"/>
                <w:szCs w:val="16"/>
              </w:rPr>
              <w:t xml:space="preserve">Agglomerative</w:t>
            </w:r>
          </w:p>
        </w:tc>
        <w:tc>
          <w:tcPr>
            <w:tcW w:type="dxa" w:w="656"/>
          </w:tcPr>
          <w:p>
            <w:pPr>
              <w:pStyle w:val="Compact"/>
              <w:jc w:val="center"/>
            </w:pPr>
            <w:r>
              <w:rPr>
                <w:sz w:val="16"/>
                <w:szCs w:val="16"/>
              </w:rPr>
              <w:t xml:space="preserve">GMM</w:t>
            </w:r>
          </w:p>
        </w:tc>
        <w:tc>
          <w:tcPr>
            <w:tcW w:type="dxa" w:w="656"/>
          </w:tcPr>
          <w:p>
            <w:pPr>
              <w:pStyle w:val="Compact"/>
              <w:jc w:val="center"/>
            </w:pPr>
            <w:r>
              <w:rPr>
                <w:sz w:val="16"/>
                <w:szCs w:val="16"/>
              </w:rPr>
              <w:t xml:space="preserve">HDBSCAN</w:t>
            </w:r>
          </w:p>
        </w:tc>
      </w:tr>
      <w:tr>
        <w:tc>
          <w:tcPr>
            <w:tcW w:type="dxa" w:w="656"/>
          </w:tcPr>
          <w:p>
            <w:pPr>
              <w:pStyle w:val="Compact"/>
              <w:jc w:val="left"/>
            </w:pPr>
            <w:r>
              <w:rPr>
                <w:sz w:val="16"/>
                <w:szCs w:val="16"/>
              </w:rPr>
              <w:t xml:space="preserve">Wine</w:t>
            </w:r>
          </w:p>
        </w:tc>
        <w:tc>
          <w:tcPr>
            <w:tcW w:type="dxa" w:w="656"/>
          </w:tcPr>
          <w:p>
            <w:pPr>
              <w:pStyle w:val="Compact"/>
              <w:jc w:val="center"/>
            </w:pPr>
            <w:r>
              <w:rPr>
                <w:sz w:val="16"/>
                <w:szCs w:val="16"/>
              </w:rPr>
              <w:t xml:space="preserve">0.791</w:t>
            </w:r>
          </w:p>
        </w:tc>
        <w:tc>
          <w:tcPr>
            <w:tcW w:type="dxa" w:w="656"/>
          </w:tcPr>
          <w:p>
            <w:pPr>
              <w:pStyle w:val="Compact"/>
              <w:jc w:val="center"/>
            </w:pPr>
            <w:r>
              <w:rPr>
                <w:sz w:val="16"/>
                <w:szCs w:val="16"/>
              </w:rPr>
              <w:t xml:space="preserve">0.788</w:t>
            </w:r>
          </w:p>
        </w:tc>
        <w:tc>
          <w:tcPr>
            <w:tcW w:type="dxa" w:w="656"/>
          </w:tcPr>
          <w:p>
            <w:pPr>
              <w:pStyle w:val="Compact"/>
              <w:jc w:val="center"/>
            </w:pPr>
            <w:r>
              <w:rPr>
                <w:sz w:val="16"/>
                <w:szCs w:val="16"/>
              </w:rPr>
              <w:t xml:space="preserve">0.788</w:t>
            </w:r>
          </w:p>
        </w:tc>
        <w:tc>
          <w:tcPr>
            <w:tcW w:type="dxa" w:w="656"/>
          </w:tcPr>
          <w:p>
            <w:pPr>
              <w:pStyle w:val="Compact"/>
              <w:jc w:val="center"/>
            </w:pPr>
            <m:oMath>
              <m:r>
                <m:rPr>
                  <m:sty m:val="b"/>
                </m:rPr>
                <m:t>0.797</m:t>
              </m:r>
            </m:oMath>
          </w:p>
        </w:tc>
        <w:tc>
          <w:tcPr>
            <w:tcW w:type="dxa" w:w="656"/>
          </w:tcPr>
          <w:p>
            <w:pPr>
              <w:pStyle w:val="Compact"/>
              <w:jc w:val="center"/>
            </w:pPr>
            <w:r>
              <w:rPr>
                <w:sz w:val="16"/>
                <w:szCs w:val="16"/>
              </w:rPr>
              <w:t xml:space="preserve">0.791</w:t>
            </w:r>
          </w:p>
        </w:tc>
        <w:tc>
          <w:tcPr>
            <w:tcW w:type="dxa" w:w="656"/>
          </w:tcPr>
          <w:p>
            <w:pPr>
              <w:pStyle w:val="Compact"/>
              <w:jc w:val="center"/>
            </w:pPr>
            <w:r>
              <w:rPr>
                <w:sz w:val="16"/>
                <w:szCs w:val="16"/>
              </w:rPr>
              <w:t xml:space="preserve">0.743</w:t>
            </w:r>
          </w:p>
        </w:tc>
      </w:tr>
      <w:tr>
        <w:tc>
          <w:tcPr>
            <w:tcW w:type="dxa" w:w="656"/>
          </w:tcPr>
          <w:p>
            <w:pPr>
              <w:pStyle w:val="Compact"/>
              <w:jc w:val="left"/>
            </w:pPr>
            <w:r>
              <w:rPr>
                <w:sz w:val="16"/>
                <w:szCs w:val="16"/>
              </w:rPr>
              <w:t xml:space="preserve">Glass</w:t>
            </w:r>
          </w:p>
        </w:tc>
        <w:tc>
          <w:tcPr>
            <w:tcW w:type="dxa" w:w="656"/>
          </w:tcPr>
          <w:p>
            <w:pPr>
              <w:pStyle w:val="Compact"/>
              <w:jc w:val="center"/>
            </w:pPr>
            <m:oMath>
              <m:r>
                <m:rPr>
                  <m:sty m:val="b"/>
                </m:rPr>
                <m:t>0.169</m:t>
              </m:r>
            </m:oMath>
          </w:p>
        </w:tc>
        <w:tc>
          <w:tcPr>
            <w:tcW w:type="dxa" w:w="656"/>
          </w:tcPr>
          <w:p>
            <w:pPr>
              <w:pStyle w:val="Compact"/>
              <w:jc w:val="center"/>
            </w:pPr>
            <w:r>
              <w:rPr>
                <w:sz w:val="16"/>
                <w:szCs w:val="16"/>
              </w:rPr>
              <w:t xml:space="preserve">0.135</w:t>
            </w:r>
          </w:p>
        </w:tc>
        <w:tc>
          <w:tcPr>
            <w:tcW w:type="dxa" w:w="656"/>
          </w:tcPr>
          <w:p>
            <w:pPr>
              <w:pStyle w:val="Compact"/>
              <w:jc w:val="center"/>
            </w:pPr>
            <w:r>
              <w:rPr>
                <w:sz w:val="16"/>
                <w:szCs w:val="16"/>
              </w:rPr>
              <w:t xml:space="preserve">0.119</w:t>
            </w:r>
          </w:p>
        </w:tc>
        <w:tc>
          <w:tcPr>
            <w:tcW w:type="dxa" w:w="656"/>
          </w:tcPr>
          <w:p>
            <w:pPr>
              <w:pStyle w:val="Compact"/>
              <w:jc w:val="center"/>
            </w:pPr>
            <w:r>
              <w:rPr>
                <w:sz w:val="16"/>
                <w:szCs w:val="16"/>
              </w:rPr>
              <w:t xml:space="preserve">0.133</w:t>
            </w:r>
          </w:p>
        </w:tc>
        <w:tc>
          <w:tcPr>
            <w:tcW w:type="dxa" w:w="656"/>
          </w:tcPr>
          <w:p>
            <w:pPr>
              <w:pStyle w:val="Compact"/>
              <w:jc w:val="center"/>
            </w:pPr>
            <w:r>
              <w:rPr>
                <w:sz w:val="16"/>
                <w:szCs w:val="16"/>
              </w:rPr>
              <w:t xml:space="preserve">0.134</w:t>
            </w:r>
          </w:p>
        </w:tc>
        <w:tc>
          <w:tcPr>
            <w:tcW w:type="dxa" w:w="656"/>
          </w:tcPr>
          <w:p>
            <w:pPr>
              <w:pStyle w:val="Compact"/>
              <w:jc w:val="center"/>
            </w:pPr>
            <w:r>
              <w:rPr>
                <w:sz w:val="16"/>
                <w:szCs w:val="16"/>
              </w:rPr>
              <w:t xml:space="preserve">0.129</w:t>
            </w:r>
          </w:p>
        </w:tc>
      </w:tr>
      <w:tr>
        <w:tc>
          <w:tcPr>
            <w:tcW w:type="dxa" w:w="656"/>
          </w:tcPr>
          <w:p>
            <w:pPr>
              <w:pStyle w:val="Compact"/>
              <w:jc w:val="left"/>
            </w:pPr>
            <w:r>
              <w:rPr>
                <w:sz w:val="16"/>
                <w:szCs w:val="16"/>
              </w:rPr>
              <w:t xml:space="preserve">Olivetti</w:t>
            </w:r>
          </w:p>
        </w:tc>
        <w:tc>
          <w:tcPr>
            <w:tcW w:type="dxa" w:w="656"/>
          </w:tcPr>
          <w:p>
            <w:pPr>
              <w:pStyle w:val="Compact"/>
              <w:jc w:val="center"/>
            </w:pPr>
            <m:oMath>
              <m:r>
                <m:rPr>
                  <m:sty m:val="b"/>
                </m:rPr>
                <m:t>0.237</m:t>
              </m:r>
            </m:oMath>
          </w:p>
        </w:tc>
        <w:tc>
          <w:tcPr>
            <w:tcW w:type="dxa" w:w="656"/>
          </w:tcPr>
          <w:p>
            <w:pPr>
              <w:pStyle w:val="Compact"/>
              <w:jc w:val="center"/>
            </w:pPr>
            <w:r>
              <w:rPr>
                <w:sz w:val="16"/>
                <w:szCs w:val="16"/>
              </w:rPr>
              <w:t xml:space="preserve">0.011</w:t>
            </w:r>
          </w:p>
        </w:tc>
        <w:tc>
          <w:tcPr>
            <w:tcW w:type="dxa" w:w="656"/>
          </w:tcPr>
          <w:p>
            <w:pPr>
              <w:pStyle w:val="Compact"/>
              <w:jc w:val="center"/>
            </w:pPr>
            <w:r>
              <w:rPr>
                <w:sz w:val="16"/>
                <w:szCs w:val="16"/>
              </w:rPr>
              <w:t xml:space="preserve">0.009</w:t>
            </w:r>
          </w:p>
        </w:tc>
        <w:tc>
          <w:tcPr>
            <w:tcW w:type="dxa" w:w="656"/>
          </w:tcPr>
          <w:p>
            <w:pPr>
              <w:pStyle w:val="Compact"/>
              <w:jc w:val="center"/>
            </w:pPr>
            <w:r>
              <w:rPr>
                <w:sz w:val="16"/>
                <w:szCs w:val="16"/>
              </w:rPr>
              <w:t xml:space="preserve">0.011</w:t>
            </w:r>
          </w:p>
        </w:tc>
        <w:tc>
          <w:tcPr>
            <w:tcW w:type="dxa" w:w="656"/>
          </w:tcPr>
          <w:p>
            <w:pPr>
              <w:pStyle w:val="Compact"/>
              <w:jc w:val="center"/>
            </w:pPr>
            <w:r>
              <w:rPr>
                <w:sz w:val="16"/>
                <w:szCs w:val="16"/>
              </w:rPr>
              <w:t xml:space="preserve">0.011</w:t>
            </w:r>
          </w:p>
        </w:tc>
        <w:tc>
          <w:tcPr>
            <w:tcW w:type="dxa" w:w="656"/>
          </w:tcPr>
          <w:p>
            <w:pPr>
              <w:pStyle w:val="Compact"/>
              <w:jc w:val="center"/>
            </w:pPr>
            <w:r>
              <w:rPr>
                <w:sz w:val="16"/>
                <w:szCs w:val="16"/>
              </w:rPr>
              <w:t xml:space="preserve">0.037</w:t>
            </w:r>
          </w:p>
        </w:tc>
      </w:tr>
      <w:tr>
        <w:tc>
          <w:tcPr>
            <w:tcW w:type="dxa" w:w="656"/>
          </w:tcPr>
          <w:p>
            <w:pPr>
              <w:pStyle w:val="Compact"/>
              <w:jc w:val="left"/>
            </w:pPr>
            <w:r>
              <w:rPr>
                <w:sz w:val="16"/>
                <w:szCs w:val="16"/>
              </w:rPr>
              <w:t xml:space="preserve">CNAE-9</w:t>
            </w:r>
          </w:p>
        </w:tc>
        <w:tc>
          <w:tcPr>
            <w:tcW w:type="dxa" w:w="656"/>
          </w:tcPr>
          <w:p>
            <w:pPr>
              <w:pStyle w:val="Compact"/>
              <w:jc w:val="center"/>
            </w:pPr>
            <m:oMath>
              <m:r>
                <m:rPr>
                  <m:sty m:val="b"/>
                </m:rPr>
                <m:t>0.642</m:t>
              </m:r>
            </m:oMath>
          </w:p>
        </w:tc>
        <w:tc>
          <w:tcPr>
            <w:tcW w:type="dxa" w:w="656"/>
          </w:tcPr>
          <w:p>
            <w:pPr>
              <w:pStyle w:val="Compact"/>
              <w:jc w:val="center"/>
            </w:pPr>
            <w:r>
              <w:rPr>
                <w:sz w:val="16"/>
                <w:szCs w:val="16"/>
              </w:rPr>
              <w:t xml:space="preserve">0.533</w:t>
            </w:r>
          </w:p>
        </w:tc>
        <w:tc>
          <w:tcPr>
            <w:tcW w:type="dxa" w:w="656"/>
          </w:tcPr>
          <w:p>
            <w:pPr>
              <w:pStyle w:val="Compact"/>
              <w:jc w:val="center"/>
            </w:pPr>
            <w:r>
              <w:rPr>
                <w:sz w:val="16"/>
                <w:szCs w:val="16"/>
              </w:rPr>
              <w:t xml:space="preserve">0.292</w:t>
            </w:r>
          </w:p>
        </w:tc>
        <w:tc>
          <w:tcPr>
            <w:tcW w:type="dxa" w:w="656"/>
          </w:tcPr>
          <w:p>
            <w:pPr>
              <w:pStyle w:val="Compact"/>
              <w:jc w:val="center"/>
            </w:pPr>
            <w:r>
              <w:rPr>
                <w:sz w:val="16"/>
                <w:szCs w:val="16"/>
              </w:rPr>
              <w:t xml:space="preserve">0.509</w:t>
            </w:r>
          </w:p>
        </w:tc>
        <w:tc>
          <w:tcPr>
            <w:tcW w:type="dxa" w:w="656"/>
          </w:tcPr>
          <w:p>
            <w:pPr>
              <w:pStyle w:val="Compact"/>
              <w:jc w:val="center"/>
            </w:pPr>
            <w:r>
              <w:rPr>
                <w:sz w:val="16"/>
                <w:szCs w:val="16"/>
              </w:rPr>
              <w:t xml:space="preserve">0.548</w:t>
            </w:r>
          </w:p>
        </w:tc>
        <w:tc>
          <w:tcPr>
            <w:tcW w:type="dxa" w:w="656"/>
          </w:tcPr>
          <w:p>
            <w:pPr>
              <w:pStyle w:val="Compact"/>
              <w:jc w:val="center"/>
            </w:pPr>
            <w:r>
              <w:rPr>
                <w:sz w:val="16"/>
                <w:szCs w:val="16"/>
              </w:rPr>
              <w:t xml:space="preserve">0.618</w:t>
            </w:r>
          </w:p>
        </w:tc>
      </w:tr>
      <w:tr>
        <w:tc>
          <w:tcPr>
            <w:tcW w:type="dxa" w:w="656"/>
          </w:tcPr>
          <w:p>
            <w:pPr>
              <w:pStyle w:val="Compact"/>
              <w:jc w:val="left"/>
            </w:pPr>
            <w:r>
              <w:rPr>
                <w:sz w:val="16"/>
                <w:szCs w:val="16"/>
              </w:rPr>
              <w:t xml:space="preserve">COIL-20</w:t>
            </w:r>
          </w:p>
        </w:tc>
        <w:tc>
          <w:tcPr>
            <w:tcW w:type="dxa" w:w="656"/>
          </w:tcPr>
          <w:p>
            <w:pPr>
              <w:pStyle w:val="Compact"/>
              <w:jc w:val="center"/>
            </w:pPr>
            <m:oMath>
              <m:r>
                <m:rPr>
                  <m:sty m:val="b"/>
                </m:rPr>
                <m:t>0.754</m:t>
              </m:r>
            </m:oMath>
          </w:p>
        </w:tc>
        <w:tc>
          <w:tcPr>
            <w:tcW w:type="dxa" w:w="656"/>
          </w:tcPr>
          <w:p>
            <w:pPr>
              <w:pStyle w:val="Compact"/>
              <w:jc w:val="center"/>
            </w:pPr>
            <w:r>
              <w:rPr>
                <w:sz w:val="16"/>
                <w:szCs w:val="16"/>
              </w:rPr>
              <w:t xml:space="preserve">0.435</w:t>
            </w:r>
          </w:p>
        </w:tc>
        <w:tc>
          <w:tcPr>
            <w:tcW w:type="dxa" w:w="656"/>
          </w:tcPr>
          <w:p>
            <w:pPr>
              <w:pStyle w:val="Compact"/>
              <w:jc w:val="center"/>
            </w:pPr>
            <w:r>
              <w:rPr>
                <w:sz w:val="16"/>
                <w:szCs w:val="16"/>
              </w:rPr>
              <w:t xml:space="preserve">0.179</w:t>
            </w:r>
          </w:p>
        </w:tc>
        <w:tc>
          <w:tcPr>
            <w:tcW w:type="dxa" w:w="656"/>
          </w:tcPr>
          <w:p>
            <w:pPr>
              <w:pStyle w:val="Compact"/>
              <w:jc w:val="center"/>
            </w:pPr>
            <w:r>
              <w:rPr>
                <w:sz w:val="16"/>
                <w:szCs w:val="16"/>
              </w:rPr>
              <w:t xml:space="preserve">0.435</w:t>
            </w:r>
          </w:p>
        </w:tc>
        <w:tc>
          <w:tcPr>
            <w:tcW w:type="dxa" w:w="656"/>
          </w:tcPr>
          <w:p>
            <w:pPr>
              <w:pStyle w:val="Compact"/>
              <w:jc w:val="center"/>
            </w:pPr>
            <w:r>
              <w:rPr>
                <w:sz w:val="16"/>
                <w:szCs w:val="16"/>
              </w:rPr>
              <w:t xml:space="preserve">0.443</w:t>
            </w:r>
          </w:p>
        </w:tc>
        <w:tc>
          <w:tcPr>
            <w:tcW w:type="dxa" w:w="656"/>
          </w:tcPr>
          <w:p>
            <w:pPr>
              <w:pStyle w:val="Compact"/>
              <w:jc w:val="center"/>
            </w:pPr>
            <w:r>
              <w:rPr>
                <w:sz w:val="16"/>
                <w:szCs w:val="16"/>
              </w:rPr>
              <w:t xml:space="preserve">0.516</w:t>
            </w:r>
          </w:p>
        </w:tc>
      </w:tr>
      <w:tr>
        <w:tc>
          <w:tcPr>
            <w:tcW w:type="dxa" w:w="656"/>
          </w:tcPr>
          <w:p>
            <w:pPr>
              <w:pStyle w:val="Compact"/>
              <w:jc w:val="left"/>
            </w:pPr>
            <w:r>
              <w:rPr>
                <w:sz w:val="16"/>
                <w:szCs w:val="16"/>
              </w:rPr>
              <w:t xml:space="preserve">Optdigits</w:t>
            </w:r>
          </w:p>
        </w:tc>
        <w:tc>
          <w:tcPr>
            <w:tcW w:type="dxa" w:w="656"/>
          </w:tcPr>
          <w:p>
            <w:pPr>
              <w:pStyle w:val="Compact"/>
              <w:jc w:val="center"/>
            </w:pPr>
            <w:r>
              <w:rPr>
                <w:sz w:val="16"/>
                <w:szCs w:val="16"/>
              </w:rPr>
              <w:t xml:space="preserve">0.848</w:t>
            </w:r>
          </w:p>
        </w:tc>
        <w:tc>
          <w:tcPr>
            <w:tcW w:type="dxa" w:w="656"/>
          </w:tcPr>
          <w:p>
            <w:pPr>
              <w:pStyle w:val="Compact"/>
              <w:jc w:val="center"/>
            </w:pPr>
            <w:r>
              <w:rPr>
                <w:sz w:val="16"/>
                <w:szCs w:val="16"/>
              </w:rPr>
              <w:t xml:space="preserve">0.846</w:t>
            </w:r>
          </w:p>
        </w:tc>
        <w:tc>
          <w:tcPr>
            <w:tcW w:type="dxa" w:w="656"/>
          </w:tcPr>
          <w:p>
            <w:pPr>
              <w:pStyle w:val="Compact"/>
              <w:jc w:val="center"/>
            </w:pPr>
            <w:r>
              <w:rPr>
                <w:sz w:val="16"/>
                <w:szCs w:val="16"/>
              </w:rPr>
              <w:t xml:space="preserve">0.436</w:t>
            </w:r>
          </w:p>
        </w:tc>
        <w:tc>
          <w:tcPr>
            <w:tcW w:type="dxa" w:w="656"/>
          </w:tcPr>
          <w:p>
            <w:pPr>
              <w:pStyle w:val="Compact"/>
              <w:jc w:val="center"/>
            </w:pPr>
            <m:oMath>
              <m:r>
                <m:rPr>
                  <m:sty m:val="b"/>
                </m:rPr>
                <m:t>0.855</m:t>
              </m:r>
            </m:oMath>
          </w:p>
        </w:tc>
        <w:tc>
          <w:tcPr>
            <w:tcW w:type="dxa" w:w="656"/>
          </w:tcPr>
          <w:p>
            <w:pPr>
              <w:pStyle w:val="Compact"/>
              <w:jc w:val="center"/>
            </w:pPr>
            <w:r>
              <w:rPr>
                <w:sz w:val="16"/>
                <w:szCs w:val="16"/>
              </w:rPr>
              <w:t xml:space="preserve">0.852</w:t>
            </w:r>
          </w:p>
        </w:tc>
        <w:tc>
          <w:tcPr>
            <w:tcW w:type="dxa" w:w="656"/>
          </w:tcPr>
          <w:p>
            <w:pPr>
              <w:pStyle w:val="Compact"/>
              <w:jc w:val="center"/>
            </w:pPr>
            <w:r>
              <w:rPr>
                <w:sz w:val="16"/>
                <w:szCs w:val="16"/>
              </w:rPr>
              <w:t xml:space="preserve">0.778</w:t>
            </w:r>
          </w:p>
        </w:tc>
      </w:tr>
      <w:tr>
        <w:tc>
          <w:tcPr>
            <w:tcW w:type="dxa" w:w="656"/>
          </w:tcPr>
          <w:p>
            <w:pPr>
              <w:pStyle w:val="Compact"/>
              <w:jc w:val="left"/>
            </w:pPr>
            <w:r>
              <w:rPr>
                <w:sz w:val="16"/>
                <w:szCs w:val="16"/>
              </w:rPr>
              <w:t xml:space="preserve">MFeat</w:t>
            </w:r>
          </w:p>
        </w:tc>
        <w:tc>
          <w:tcPr>
            <w:tcW w:type="dxa" w:w="656"/>
          </w:tcPr>
          <w:p>
            <w:pPr>
              <w:pStyle w:val="Compact"/>
              <w:jc w:val="center"/>
            </w:pPr>
            <m:oMath>
              <m:r>
                <m:rPr>
                  <m:sty m:val="b"/>
                </m:rPr>
                <m:t>0.939</m:t>
              </m:r>
            </m:oMath>
          </w:p>
        </w:tc>
        <w:tc>
          <w:tcPr>
            <w:tcW w:type="dxa" w:w="656"/>
          </w:tcPr>
          <w:p>
            <w:pPr>
              <w:pStyle w:val="Compact"/>
              <w:jc w:val="center"/>
            </w:pPr>
            <w:r>
              <w:rPr>
                <w:sz w:val="16"/>
                <w:szCs w:val="16"/>
              </w:rPr>
              <w:t xml:space="preserve">0.937</w:t>
            </w:r>
          </w:p>
        </w:tc>
        <w:tc>
          <w:tcPr>
            <w:tcW w:type="dxa" w:w="656"/>
          </w:tcPr>
          <w:p>
            <w:pPr>
              <w:pStyle w:val="Compact"/>
              <w:jc w:val="center"/>
            </w:pPr>
            <w:r>
              <w:rPr>
                <w:sz w:val="16"/>
                <w:szCs w:val="16"/>
              </w:rPr>
              <w:t xml:space="preserve">0.448</w:t>
            </w:r>
          </w:p>
        </w:tc>
        <w:tc>
          <w:tcPr>
            <w:tcW w:type="dxa" w:w="656"/>
          </w:tcPr>
          <w:p>
            <w:pPr>
              <w:pStyle w:val="Compact"/>
              <w:jc w:val="center"/>
            </w:pPr>
            <w:r>
              <w:rPr>
                <w:sz w:val="16"/>
                <w:szCs w:val="16"/>
              </w:rPr>
              <w:t xml:space="preserve">0.937</w:t>
            </w:r>
          </w:p>
        </w:tc>
        <w:tc>
          <w:tcPr>
            <w:tcW w:type="dxa" w:w="656"/>
          </w:tcPr>
          <w:p>
            <w:pPr>
              <w:pStyle w:val="Compact"/>
              <w:jc w:val="center"/>
            </w:pPr>
            <w:r>
              <w:rPr>
                <w:sz w:val="16"/>
                <w:szCs w:val="16"/>
              </w:rPr>
              <w:t xml:space="preserve">0.937</w:t>
            </w:r>
          </w:p>
        </w:tc>
        <w:tc>
          <w:tcPr>
            <w:tcW w:type="dxa" w:w="656"/>
          </w:tcPr>
          <w:p>
            <w:pPr>
              <w:pStyle w:val="Compact"/>
              <w:jc w:val="center"/>
            </w:pPr>
            <w:r>
              <w:rPr>
                <w:sz w:val="16"/>
                <w:szCs w:val="16"/>
              </w:rPr>
              <w:t xml:space="preserve">0.925</w:t>
            </w:r>
          </w:p>
        </w:tc>
      </w:tr>
      <w:tr>
        <w:tc>
          <w:tcPr>
            <w:tcW w:type="dxa" w:w="656"/>
          </w:tcPr>
          <w:p>
            <w:pPr>
              <w:pStyle w:val="Compact"/>
              <w:jc w:val="left"/>
            </w:pPr>
            <w:r>
              <w:rPr>
                <w:sz w:val="16"/>
                <w:szCs w:val="16"/>
              </w:rPr>
              <w:t xml:space="preserve">Segment.</w:t>
            </w:r>
          </w:p>
        </w:tc>
        <w:tc>
          <w:tcPr>
            <w:tcW w:type="dxa" w:w="656"/>
          </w:tcPr>
          <w:p>
            <w:pPr>
              <w:pStyle w:val="Compact"/>
              <w:jc w:val="center"/>
            </w:pPr>
            <w:r>
              <w:rPr>
                <w:sz w:val="16"/>
                <w:szCs w:val="16"/>
              </w:rPr>
              <w:t xml:space="preserve">0.413</w:t>
            </w:r>
          </w:p>
        </w:tc>
        <w:tc>
          <w:tcPr>
            <w:tcW w:type="dxa" w:w="656"/>
          </w:tcPr>
          <w:p>
            <w:pPr>
              <w:pStyle w:val="Compact"/>
              <w:jc w:val="center"/>
            </w:pPr>
            <m:oMath>
              <m:r>
                <m:rPr>
                  <m:sty m:val="b"/>
                </m:rPr>
                <m:t>0.427</m:t>
              </m:r>
            </m:oMath>
          </w:p>
        </w:tc>
        <w:tc>
          <w:tcPr>
            <w:tcW w:type="dxa" w:w="656"/>
          </w:tcPr>
          <w:p>
            <w:pPr>
              <w:pStyle w:val="Compact"/>
              <w:jc w:val="center"/>
            </w:pPr>
            <w:r>
              <w:rPr>
                <w:sz w:val="16"/>
                <w:szCs w:val="16"/>
              </w:rPr>
              <w:t xml:space="preserve">0.143</w:t>
            </w:r>
          </w:p>
        </w:tc>
        <w:tc>
          <w:tcPr>
            <w:tcW w:type="dxa" w:w="656"/>
          </w:tcPr>
          <w:p>
            <w:pPr>
              <w:pStyle w:val="Compact"/>
              <w:jc w:val="center"/>
            </w:pPr>
            <w:r>
              <w:rPr>
                <w:sz w:val="16"/>
                <w:szCs w:val="16"/>
              </w:rPr>
              <w:t xml:space="preserve">0.413</w:t>
            </w:r>
          </w:p>
        </w:tc>
        <w:tc>
          <w:tcPr>
            <w:tcW w:type="dxa" w:w="656"/>
          </w:tcPr>
          <w:p>
            <w:pPr>
              <w:pStyle w:val="Compact"/>
              <w:jc w:val="center"/>
            </w:pPr>
            <w:r>
              <w:rPr>
                <w:sz w:val="16"/>
                <w:szCs w:val="16"/>
              </w:rPr>
              <w:t xml:space="preserve">0.423</w:t>
            </w:r>
          </w:p>
        </w:tc>
        <w:tc>
          <w:tcPr>
            <w:tcW w:type="dxa" w:w="656"/>
          </w:tcPr>
          <w:p>
            <w:pPr>
              <w:pStyle w:val="Compact"/>
              <w:jc w:val="center"/>
            </w:pPr>
            <w:r>
              <w:rPr>
                <w:sz w:val="16"/>
                <w:szCs w:val="16"/>
              </w:rPr>
              <w:t xml:space="preserve">0.320</w:t>
            </w:r>
          </w:p>
        </w:tc>
      </w:tr>
      <w:tr>
        <w:tc>
          <w:tcPr>
            <w:tcW w:type="dxa" w:w="656"/>
          </w:tcPr>
          <w:p>
            <w:pPr>
              <w:pStyle w:val="Compact"/>
              <w:jc w:val="left"/>
            </w:pPr>
            <w:r>
              <w:rPr>
                <w:sz w:val="16"/>
                <w:szCs w:val="16"/>
              </w:rPr>
              <w:t xml:space="preserve">ISOLET</w:t>
            </w:r>
          </w:p>
        </w:tc>
        <w:tc>
          <w:tcPr>
            <w:tcW w:type="dxa" w:w="656"/>
          </w:tcPr>
          <w:p>
            <w:pPr>
              <w:pStyle w:val="Compact"/>
              <w:jc w:val="center"/>
            </w:pPr>
            <m:oMath>
              <m:r>
                <m:rPr>
                  <m:sty m:val="b"/>
                </m:rPr>
                <m:t>0.476</m:t>
              </m:r>
            </m:oMath>
          </w:p>
        </w:tc>
        <w:tc>
          <w:tcPr>
            <w:tcW w:type="dxa" w:w="656"/>
          </w:tcPr>
          <w:p>
            <w:pPr>
              <w:pStyle w:val="Compact"/>
              <w:jc w:val="center"/>
            </w:pPr>
            <w:r>
              <w:rPr>
                <w:sz w:val="16"/>
                <w:szCs w:val="16"/>
              </w:rPr>
              <w:t xml:space="preserve">0.283</w:t>
            </w:r>
          </w:p>
        </w:tc>
        <w:tc>
          <w:tcPr>
            <w:tcW w:type="dxa" w:w="656"/>
          </w:tcPr>
          <w:p>
            <w:pPr>
              <w:pStyle w:val="Compact"/>
              <w:jc w:val="center"/>
            </w:pPr>
            <w:r>
              <w:rPr>
                <w:sz w:val="16"/>
                <w:szCs w:val="16"/>
              </w:rPr>
              <w:t xml:space="preserve">0.168</w:t>
            </w:r>
          </w:p>
        </w:tc>
        <w:tc>
          <w:tcPr>
            <w:tcW w:type="dxa" w:w="656"/>
          </w:tcPr>
          <w:p>
            <w:pPr>
              <w:pStyle w:val="Compact"/>
              <w:jc w:val="center"/>
            </w:pPr>
            <w:r>
              <w:rPr>
                <w:sz w:val="16"/>
                <w:szCs w:val="16"/>
              </w:rPr>
              <w:t xml:space="preserve">0.283</w:t>
            </w:r>
          </w:p>
        </w:tc>
        <w:tc>
          <w:tcPr>
            <w:tcW w:type="dxa" w:w="656"/>
          </w:tcPr>
          <w:p>
            <w:pPr>
              <w:pStyle w:val="Compact"/>
              <w:jc w:val="center"/>
            </w:pPr>
            <w:r>
              <w:rPr>
                <w:sz w:val="16"/>
                <w:szCs w:val="16"/>
              </w:rPr>
              <w:t xml:space="preserve">0.365</w:t>
            </w:r>
          </w:p>
        </w:tc>
        <w:tc>
          <w:tcPr>
            <w:tcW w:type="dxa" w:w="656"/>
          </w:tcPr>
          <w:p>
            <w:pPr>
              <w:pStyle w:val="Compact"/>
              <w:jc w:val="center"/>
            </w:pPr>
            <w:r>
              <w:rPr>
                <w:sz w:val="16"/>
                <w:szCs w:val="16"/>
              </w:rPr>
              <w:t xml:space="preserve">0.250</w:t>
            </w:r>
          </w:p>
        </w:tc>
      </w:tr>
      <w:tr>
        <w:tc>
          <w:tcPr>
            <w:tcW w:type="dxa" w:w="656"/>
          </w:tcPr>
          <w:p>
            <w:pPr>
              <w:pStyle w:val="Compact"/>
              <w:jc w:val="left"/>
            </w:pPr>
            <w:r>
              <w:rPr>
                <w:sz w:val="16"/>
                <w:szCs w:val="16"/>
              </w:rPr>
              <w:t xml:space="preserve">Satimage</w:t>
            </w:r>
          </w:p>
        </w:tc>
        <w:tc>
          <w:tcPr>
            <w:tcW w:type="dxa" w:w="656"/>
          </w:tcPr>
          <w:p>
            <w:pPr>
              <w:pStyle w:val="Compact"/>
              <w:jc w:val="center"/>
            </w:pPr>
            <w:r>
              <w:rPr>
                <w:sz w:val="16"/>
                <w:szCs w:val="16"/>
              </w:rPr>
              <w:t xml:space="preserve">0.525</w:t>
            </w:r>
          </w:p>
        </w:tc>
        <w:tc>
          <w:tcPr>
            <w:tcW w:type="dxa" w:w="656"/>
          </w:tcPr>
          <w:p>
            <w:pPr>
              <w:pStyle w:val="Compact"/>
              <w:jc w:val="center"/>
            </w:pPr>
            <m:oMath>
              <m:r>
                <m:rPr>
                  <m:sty m:val="b"/>
                </m:rPr>
                <m:t>0.628</m:t>
              </m:r>
            </m:oMath>
          </w:p>
        </w:tc>
        <w:tc>
          <w:tcPr>
            <w:tcW w:type="dxa" w:w="656"/>
          </w:tcPr>
          <w:p>
            <w:pPr>
              <w:pStyle w:val="Compact"/>
              <w:jc w:val="center"/>
            </w:pPr>
            <w:r>
              <w:rPr>
                <w:sz w:val="16"/>
                <w:szCs w:val="16"/>
              </w:rPr>
              <w:t xml:space="preserve">0.480</w:t>
            </w:r>
          </w:p>
        </w:tc>
        <w:tc>
          <w:tcPr>
            <w:tcW w:type="dxa" w:w="656"/>
          </w:tcPr>
          <w:p>
            <w:pPr>
              <w:pStyle w:val="Compact"/>
              <w:jc w:val="center"/>
            </w:pPr>
            <w:r>
              <w:rPr>
                <w:sz w:val="16"/>
                <w:szCs w:val="16"/>
              </w:rPr>
              <w:t xml:space="preserve">0.620</w:t>
            </w:r>
          </w:p>
        </w:tc>
        <w:tc>
          <w:tcPr>
            <w:tcW w:type="dxa" w:w="656"/>
          </w:tcPr>
          <w:p>
            <w:pPr>
              <w:pStyle w:val="Compact"/>
              <w:jc w:val="center"/>
            </w:pPr>
            <w:r>
              <w:rPr>
                <w:sz w:val="16"/>
                <w:szCs w:val="16"/>
              </w:rPr>
              <w:t xml:space="preserve">0.611</w:t>
            </w:r>
          </w:p>
        </w:tc>
        <w:tc>
          <w:tcPr>
            <w:tcW w:type="dxa" w:w="656"/>
          </w:tcPr>
          <w:p>
            <w:pPr>
              <w:pStyle w:val="Compact"/>
              <w:jc w:val="center"/>
            </w:pPr>
            <w:r>
              <w:rPr>
                <w:sz w:val="16"/>
                <w:szCs w:val="16"/>
              </w:rPr>
              <w:t xml:space="preserve">0.358</w:t>
            </w:r>
          </w:p>
        </w:tc>
      </w:tr>
      <w:tr>
        <w:tc>
          <w:tcPr>
            <w:tcW w:type="dxa" w:w="656"/>
          </w:tcPr>
          <w:p>
            <w:pPr>
              <w:pStyle w:val="Compact"/>
              <w:jc w:val="left"/>
            </w:pPr>
            <w:r>
              <w:rPr>
                <w:sz w:val="16"/>
                <w:szCs w:val="16"/>
              </w:rPr>
              <w:t xml:space="preserve">USPS</w:t>
            </w:r>
          </w:p>
        </w:tc>
        <w:tc>
          <w:tcPr>
            <w:tcW w:type="dxa" w:w="656"/>
          </w:tcPr>
          <w:p>
            <w:pPr>
              <w:pStyle w:val="Compact"/>
              <w:jc w:val="center"/>
            </w:pPr>
            <m:oMath>
              <m:r>
                <m:rPr>
                  <m:sty m:val="b"/>
                </m:rPr>
                <m:t>0.871</m:t>
              </m:r>
            </m:oMath>
          </w:p>
        </w:tc>
        <w:tc>
          <w:tcPr>
            <w:tcW w:type="dxa" w:w="656"/>
          </w:tcPr>
          <w:p>
            <w:pPr>
              <w:pStyle w:val="Compact"/>
              <w:jc w:val="center"/>
            </w:pPr>
            <w:r>
              <w:rPr>
                <w:sz w:val="16"/>
                <w:szCs w:val="16"/>
              </w:rPr>
              <w:t xml:space="preserve">0.639</w:t>
            </w:r>
          </w:p>
        </w:tc>
        <w:tc>
          <w:tcPr>
            <w:tcW w:type="dxa" w:w="656"/>
          </w:tcPr>
          <w:p>
            <w:pPr>
              <w:pStyle w:val="Compact"/>
              <w:jc w:val="center"/>
            </w:pPr>
            <w:r>
              <w:rPr>
                <w:sz w:val="16"/>
                <w:szCs w:val="16"/>
              </w:rPr>
              <w:t xml:space="preserve">0.470</w:t>
            </w:r>
          </w:p>
        </w:tc>
        <w:tc>
          <w:tcPr>
            <w:tcW w:type="dxa" w:w="656"/>
          </w:tcPr>
          <w:p>
            <w:pPr>
              <w:pStyle w:val="Compact"/>
              <w:jc w:val="center"/>
            </w:pPr>
            <w:r>
              <w:rPr>
                <w:sz w:val="16"/>
                <w:szCs w:val="16"/>
              </w:rPr>
              <w:t xml:space="preserve">0.639</w:t>
            </w:r>
          </w:p>
        </w:tc>
        <w:tc>
          <w:tcPr>
            <w:tcW w:type="dxa" w:w="656"/>
          </w:tcPr>
          <w:p>
            <w:pPr>
              <w:pStyle w:val="Compact"/>
              <w:jc w:val="center"/>
            </w:pPr>
            <w:r>
              <w:rPr>
                <w:sz w:val="16"/>
                <w:szCs w:val="16"/>
              </w:rPr>
              <w:t xml:space="preserve">0.639</w:t>
            </w:r>
          </w:p>
        </w:tc>
        <w:tc>
          <w:tcPr>
            <w:tcW w:type="dxa" w:w="656"/>
          </w:tcPr>
          <w:p>
            <w:pPr>
              <w:pStyle w:val="Compact"/>
              <w:jc w:val="center"/>
            </w:pPr>
            <w:r>
              <w:rPr>
                <w:sz w:val="16"/>
                <w:szCs w:val="16"/>
              </w:rPr>
              <w:t xml:space="preserve">0.705</w:t>
            </w:r>
          </w:p>
        </w:tc>
      </w:tr>
      <w:tr>
        <w:tc>
          <w:tcPr>
            <w:tcW w:type="dxa" w:w="656"/>
          </w:tcPr>
          <w:p>
            <w:pPr>
              <w:pStyle w:val="Compact"/>
              <w:jc w:val="left"/>
            </w:pPr>
            <w:r>
              <w:rPr>
                <w:sz w:val="16"/>
                <w:szCs w:val="16"/>
              </w:rPr>
              <w:t xml:space="preserve">PenDigits</w:t>
            </w:r>
          </w:p>
        </w:tc>
        <w:tc>
          <w:tcPr>
            <w:tcW w:type="dxa" w:w="656"/>
          </w:tcPr>
          <w:p>
            <w:pPr>
              <w:pStyle w:val="Compact"/>
              <w:jc w:val="center"/>
            </w:pPr>
            <w:r>
              <w:rPr>
                <w:sz w:val="16"/>
                <w:szCs w:val="16"/>
              </w:rPr>
              <w:t xml:space="preserve">0.811</w:t>
            </w:r>
          </w:p>
        </w:tc>
        <w:tc>
          <w:tcPr>
            <w:tcW w:type="dxa" w:w="656"/>
          </w:tcPr>
          <w:p>
            <w:pPr>
              <w:pStyle w:val="Compact"/>
              <w:jc w:val="center"/>
            </w:pPr>
            <w:r>
              <w:rPr>
                <w:sz w:val="16"/>
                <w:szCs w:val="16"/>
              </w:rPr>
              <w:t xml:space="preserve">0.801</w:t>
            </w:r>
          </w:p>
        </w:tc>
        <w:tc>
          <w:tcPr>
            <w:tcW w:type="dxa" w:w="656"/>
          </w:tcPr>
          <w:p>
            <w:pPr>
              <w:pStyle w:val="Compact"/>
              <w:jc w:val="center"/>
            </w:pPr>
            <w:r>
              <w:rPr>
                <w:sz w:val="16"/>
                <w:szCs w:val="16"/>
              </w:rPr>
              <w:t xml:space="preserve">0.103</w:t>
            </w:r>
          </w:p>
        </w:tc>
        <w:tc>
          <w:tcPr>
            <w:tcW w:type="dxa" w:w="656"/>
          </w:tcPr>
          <w:p>
            <w:pPr>
              <w:pStyle w:val="Compact"/>
              <w:jc w:val="center"/>
            </w:pPr>
            <m:oMath>
              <m:r>
                <m:rPr>
                  <m:sty m:val="b"/>
                </m:rPr>
                <m:t>0.814</m:t>
              </m:r>
            </m:oMath>
          </w:p>
        </w:tc>
        <w:tc>
          <w:tcPr>
            <w:tcW w:type="dxa" w:w="656"/>
          </w:tcPr>
          <w:p>
            <w:pPr>
              <w:pStyle w:val="Compact"/>
              <w:jc w:val="center"/>
            </w:pPr>
            <w:r>
              <w:rPr>
                <w:sz w:val="16"/>
                <w:szCs w:val="16"/>
              </w:rPr>
              <w:t xml:space="preserve">0.800</w:t>
            </w:r>
          </w:p>
        </w:tc>
        <w:tc>
          <w:tcPr>
            <w:tcW w:type="dxa" w:w="656"/>
          </w:tcPr>
          <w:p>
            <w:pPr>
              <w:pStyle w:val="Compact"/>
              <w:jc w:val="center"/>
            </w:pPr>
            <w:r>
              <w:rPr>
                <w:sz w:val="16"/>
                <w:szCs w:val="16"/>
              </w:rPr>
              <w:t xml:space="preserve">0.800</w:t>
            </w:r>
          </w:p>
        </w:tc>
      </w:tr>
      <w:tr>
        <w:tc>
          <w:tcPr>
            <w:tcW w:type="dxa" w:w="656"/>
          </w:tcPr>
          <w:p>
            <w:pPr>
              <w:pStyle w:val="Compact"/>
              <w:jc w:val="left"/>
            </w:pPr>
            <w:r>
              <w:rPr>
                <w:b/>
                <w:bCs/>
                <w:sz w:val="16"/>
                <w:szCs w:val="16"/>
              </w:rPr>
              <w:t xml:space="preserve">Mean</w:t>
            </w:r>
          </w:p>
        </w:tc>
        <w:tc>
          <w:tcPr>
            <w:tcW w:type="dxa" w:w="656"/>
          </w:tcPr>
          <w:p>
            <w:pPr>
              <w:pStyle w:val="Compact"/>
              <w:jc w:val="center"/>
            </w:pPr>
            <m:oMath>
              <m:r>
                <m:rPr>
                  <m:sty m:val="b"/>
                </m:rPr>
                <m:t>0.623</m:t>
              </m:r>
            </m:oMath>
          </w:p>
        </w:tc>
        <w:tc>
          <w:tcPr>
            <w:tcW w:type="dxa" w:w="656"/>
          </w:tcPr>
          <w:p>
            <w:pPr>
              <w:pStyle w:val="Compact"/>
              <w:jc w:val="center"/>
            </w:pPr>
            <w:r>
              <w:rPr>
                <w:sz w:val="16"/>
                <w:szCs w:val="16"/>
              </w:rPr>
              <w:t xml:space="preserve">0.539</w:t>
            </w:r>
          </w:p>
        </w:tc>
        <w:tc>
          <w:tcPr>
            <w:tcW w:type="dxa" w:w="656"/>
          </w:tcPr>
          <w:p>
            <w:pPr>
              <w:pStyle w:val="Compact"/>
              <w:jc w:val="center"/>
            </w:pPr>
            <w:r>
              <w:rPr>
                <w:sz w:val="16"/>
                <w:szCs w:val="16"/>
              </w:rPr>
              <w:t xml:space="preserve">0.303</w:t>
            </w:r>
          </w:p>
        </w:tc>
        <w:tc>
          <w:tcPr>
            <w:tcW w:type="dxa" w:w="656"/>
          </w:tcPr>
          <w:p>
            <w:pPr>
              <w:pStyle w:val="Compact"/>
              <w:jc w:val="center"/>
            </w:pPr>
            <w:r>
              <w:rPr>
                <w:sz w:val="16"/>
                <w:szCs w:val="16"/>
              </w:rPr>
              <w:t xml:space="preserve">0.537</w:t>
            </w:r>
          </w:p>
        </w:tc>
        <w:tc>
          <w:tcPr>
            <w:tcW w:type="dxa" w:w="656"/>
          </w:tcPr>
          <w:p>
            <w:pPr>
              <w:pStyle w:val="Compact"/>
              <w:jc w:val="center"/>
            </w:pPr>
            <w:r>
              <w:rPr>
                <w:sz w:val="16"/>
                <w:szCs w:val="16"/>
              </w:rPr>
              <w:t xml:space="preserve">0.546</w:t>
            </w:r>
          </w:p>
        </w:tc>
        <w:tc>
          <w:tcPr>
            <w:tcW w:type="dxa" w:w="656"/>
          </w:tcPr>
          <w:p>
            <w:pPr>
              <w:pStyle w:val="Compact"/>
              <w:jc w:val="center"/>
            </w:pPr>
            <w:r>
              <w:rPr>
                <w:sz w:val="16"/>
                <w:szCs w:val="16"/>
              </w:rPr>
              <w:t xml:space="preserve">0.515</w:t>
            </w:r>
          </w:p>
        </w:tc>
      </w:tr>
    </w:tbl>
    <w:bookmarkEnd w:id="69"/>
    <w:p>
      <w:pPr>
        <w:pStyle w:val="BodyText"/>
        <w:spacing w:before="0" w:after="0" w:line="240" w:lineRule="auto"/>
        <w:ind w:firstLine="330"/>
        <w:jc w:val="both"/>
      </w:pPr>
      <w:r>
        <w:rPr>
          <w:color w:val="C00000"/>
        </w:rPr>
        <w:t xml:space="preserve">The deployable DEAC gate (mean ARI</w:t>
      </w:r>
      <w:r>
        <w:rPr>
          <w:color w:val="C00000"/>
        </w:rPr>
        <w:t xml:space="preserve"> </w:t>
      </w:r>
      <m:oMath>
        <m:r>
          <m:t>0.623</m:t>
        </m:r>
      </m:oMath>
      <w:r>
        <w:rPr>
          <w:color w:val="C00000"/>
        </w:rPr>
        <w:t xml:space="preserve">) is the best method on 7 of 12 datasets and exceeds the strongest classical baseline (GMM, 0.546) by</w:t>
      </w:r>
      <w:r>
        <w:rPr>
          <w:color w:val="C00000"/>
        </w:rPr>
        <w:t xml:space="preserve"> </w:t>
      </w:r>
      <m:oMath>
        <m:r>
          <m:t>7.7</m:t>
        </m:r>
      </m:oMath>
      <w:r>
        <w:rPr>
          <w:color w:val="C00000"/>
        </w:rPr>
        <w:t xml:space="preserve"> </w:t>
      </w:r>
      <w:r>
        <w:rPr>
          <w:color w:val="C00000"/>
        </w:rPr>
        <w:t xml:space="preserve">points. Much of that margin comes from cases where silhouette-based</w:t>
      </w:r>
      <w:r>
        <w:rPr>
          <w:color w:val="C00000"/>
        </w:rPr>
        <w:t xml:space="preserve"> </w:t>
      </w:r>
      <m:oMath>
        <m:r>
          <m:t>C</m:t>
        </m:r>
      </m:oMath>
      <w:r>
        <w:rPr>
          <w:color w:val="C00000"/>
        </w:rPr>
        <w:t xml:space="preserve"> </w:t>
      </w:r>
      <w:r>
        <w:rPr>
          <w:color w:val="C00000"/>
        </w:rPr>
        <w:t xml:space="preserve">selection fails outright—on Olivetti it collapses every classical baseline to</w:t>
      </w:r>
      <w:r>
        <w:rPr>
          <w:color w:val="C00000"/>
        </w:rPr>
        <w:t xml:space="preserve"> </w:t>
      </w:r>
      <m:oMath>
        <m:r>
          <m:t>C</m:t>
        </m:r>
        <m:r>
          <m:rPr>
            <m:sty m:val="p"/>
          </m:rPr>
          <m:t>=</m:t>
        </m:r>
        <m:r>
          <m:t>2</m:t>
        </m:r>
      </m:oMath>
      <w:r>
        <w:rPr>
          <w:color w:val="C00000"/>
        </w:rPr>
        <w:t xml:space="preserve"> </w:t>
      </w:r>
      <w:r>
        <w:rPr>
          <w:color w:val="C00000"/>
        </w:rPr>
        <w:t xml:space="preserve">(ARI</w:t>
      </w:r>
      <w:r>
        <w:rPr>
          <w:color w:val="C00000"/>
        </w:rPr>
        <w:t xml:space="preserve"> </w:t>
      </w:r>
      <m:oMath>
        <m:r>
          <m:rPr>
            <m:sty m:val="p"/>
          </m:rPr>
          <m:t>≈</m:t>
        </m:r>
        <m:r>
          <m:t>0.01</m:t>
        </m:r>
      </m:oMath>
      <w:r>
        <w:rPr>
          <w:color w:val="C00000"/>
        </w:rPr>
        <w:t xml:space="preserve">) against the 40 true classes, whereas DEAC infers the count. Whether the aggregate advantage is statistically reliable is tested in §</w:t>
      </w:r>
      <w:hyperlink w:anchor="sec:disc">
        <w:r>
          <w:rPr>
            <w:rStyle w:val="Hyperlink"/>
          </w:rPr>
          <w:t xml:space="preserve">5</w:t>
        </w:r>
      </w:hyperlink>
      <w:r>
        <w:rPr>
          <w:color w:val="C00000"/>
        </w:rPr>
        <w:t xml:space="preserve">; the sharper comparison is against modern deep clustering.</w:t>
      </w:r>
    </w:p>
    <w:bookmarkEnd w:id="70"/>
    <w:bookmarkStart w:id="72" w:name="comparison-with-deep-clustering"/>
    <w:p>
      <w:pPr>
        <w:pStyle w:val="Heading2"/>
        <w:jc w:val="left"/>
      </w:pPr>
      <w:r>
        <w:rPr>
          <w:rFonts w:ascii="Times New Roman" w:hAnsi="Times New Roman" w:cs="Times New Roman"/>
          <w:b/>
          <w:color w:val="C00000"/>
          <w:sz w:val="22"/>
        </w:rPr>
        <w:t>Comparison with Deep Clustering</w:t>
      </w:r>
    </w:p>
    <w:p>
      <w:pPr>
        <w:pStyle w:val="FirstParagraph"/>
        <w:spacing w:before="0" w:after="0" w:line="240" w:lineRule="auto"/>
        <w:ind w:firstLine="330"/>
        <w:jc w:val="both"/>
      </w:pPr>
      <w:r>
        <w:rPr>
          <w:color w:val="C00000"/>
        </w:rPr>
        <w:t xml:space="preserve">Table </w:t>
      </w:r>
      <w:hyperlink w:anchor="tab:deep">
        <w:r>
          <w:rPr>
            <w:rStyle w:val="Hyperlink"/>
          </w:rPr>
          <w:t xml:space="preserve">7</w:t>
        </w:r>
      </w:hyperlink>
      <w:r>
        <w:rPr>
          <w:color w:val="C00000"/>
        </w:rPr>
        <w:t xml:space="preserve"> </w:t>
      </w:r>
      <w:r>
        <w:rPr>
          <w:color w:val="C00000"/>
        </w:rPr>
        <w:t xml:space="preserve">compares DEAC against four representative deep-clustering</w:t>
      </w:r>
      <w:r>
        <w:rPr>
          <w:color w:val="C00000"/>
        </w:rPr>
        <w:t xml:space="preserve"> </w:t>
      </w:r>
      <w:r>
        <w:rPr>
          <w:color w:val="C00000"/>
        </w:rPr>
        <w:t xml:space="preserve">methods: N2D [28], DEC [27],</w:t>
      </w:r>
      <w:r>
        <w:rPr>
          <w:color w:val="C00000"/>
        </w:rPr>
        <w:t xml:space="preserve"> </w:t>
      </w:r>
      <w:r>
        <w:rPr>
          <w:color w:val="C00000"/>
        </w:rPr>
        <w:t xml:space="preserve">IDEC [29], and DCN [30]. To give the</w:t>
      </w:r>
      <w:r>
        <w:rPr>
          <w:color w:val="C00000"/>
        </w:rPr>
        <w:t xml:space="preserve"> </w:t>
      </w:r>
      <w:r>
        <w:rPr>
          <w:color w:val="C00000"/>
        </w:rPr>
        <w:t xml:space="preserve">deep baselines every advantage, each is supplied with the</w:t>
      </w:r>
      <w:r>
        <w:rPr>
          <w:color w:val="C00000"/>
        </w:rPr>
        <w:t xml:space="preserve"> </w:t>
      </w:r>
      <w:r>
        <w:rPr>
          <w:i/>
          <w:iCs/>
          <w:color w:val="C00000"/>
        </w:rPr>
        <w:t xml:space="preserve">true</w:t>
      </w:r>
      <w:r>
        <w:rPr>
          <w:color w:val="C00000"/>
        </w:rPr>
        <w:t xml:space="preserve"> </w:t>
      </w:r>
      <w:r>
        <w:rPr>
          <w:color w:val="C00000"/>
        </w:rPr>
        <w:t xml:space="preserve">cluster</w:t>
      </w:r>
      <w:r>
        <w:rPr>
          <w:color w:val="C00000"/>
        </w:rPr>
        <w:t xml:space="preserve"> </w:t>
      </w:r>
      <w:r>
        <w:rPr>
          <w:color w:val="C00000"/>
        </w:rPr>
        <w:t xml:space="preserve">count (oracle</w:t>
      </w:r>
      <w:r>
        <w:rPr>
          <w:color w:val="C00000"/>
        </w:rPr>
        <w:t xml:space="preserve"> </w:t>
      </w:r>
      <m:oMath>
        <m:r>
          <m:t>C</m:t>
        </m:r>
      </m:oMath>
      <w:r>
        <w:rPr>
          <w:color w:val="C00000"/>
        </w:rPr>
        <w:t xml:space="preserve">) and trained on the standardized raw features; DEAC alone</w:t>
      </w:r>
      <w:r>
        <w:rPr>
          <w:color w:val="C00000"/>
        </w:rPr>
        <w:t xml:space="preserve"> </w:t>
      </w:r>
      <w:r>
        <w:rPr>
          <w:color w:val="C00000"/>
        </w:rPr>
        <w:t xml:space="preserve">must still discover</w:t>
      </w:r>
      <w:r>
        <w:rPr>
          <w:color w:val="C00000"/>
        </w:rPr>
        <w:t xml:space="preserve"> </w:t>
      </w:r>
      <m:oMath>
        <m:r>
          <m:t>C</m:t>
        </m:r>
      </m:oMath>
      <w:r>
        <w:rPr>
          <w:color w:val="C00000"/>
        </w:rPr>
        <w:t xml:space="preserve">. All four share a fully-connected autoencoder</w:t>
      </w:r>
      <w:r>
        <w:rPr>
          <w:color w:val="C00000"/>
        </w:rPr>
        <w:t xml:space="preserve"> </w:t>
      </w:r>
      <w:r>
        <w:rPr>
          <w:color w:val="C00000"/>
        </w:rPr>
        <w:t xml:space="preserve">(</w:t>
      </w:r>
      <m:oMath>
        <m:r>
          <m:t>d</m:t>
        </m:r>
      </m:oMath>
      <w:r>
        <w:rPr>
          <w:color w:val="C00000"/>
        </w:rPr>
        <w:t xml:space="preserve">–500–500–2000–10) pretrained for 100 epochs, following the original</w:t>
      </w:r>
      <w:r>
        <w:rPr>
          <w:color w:val="C00000"/>
        </w:rPr>
        <w:t xml:space="preserve"> </w:t>
      </w:r>
      <w:r>
        <w:rPr>
          <w:color w:val="C00000"/>
        </w:rPr>
        <w:t xml:space="preserve">protocols. These are standard, un-tuned implementations: the weaker performers</w:t>
      </w:r>
      <w:r>
        <w:rPr>
          <w:color w:val="C00000"/>
        </w:rPr>
        <w:t xml:space="preserve"> </w:t>
      </w:r>
      <w:r>
        <w:rPr>
          <w:color w:val="C00000"/>
        </w:rPr>
        <w:t xml:space="preserve">(DEC, IDEC), which self-train a KL objective, may trail architecture-specialized</w:t>
      </w:r>
      <w:r>
        <w:rPr>
          <w:color w:val="C00000"/>
        </w:rPr>
        <w:t xml:space="preserve"> </w:t>
      </w:r>
      <w:r>
        <w:rPr>
          <w:color w:val="C00000"/>
        </w:rPr>
        <w:t xml:space="preserve">or per-dataset-tuned variants, so their scores should be read as a reasonable</w:t>
      </w:r>
      <w:r>
        <w:rPr>
          <w:color w:val="C00000"/>
        </w:rPr>
        <w:t xml:space="preserve"> </w:t>
      </w:r>
      <w:r>
        <w:rPr>
          <w:color w:val="C00000"/>
        </w:rPr>
        <w:t xml:space="preserve">lower bound rather than each method’s ceiling. The deployable DEAC gate reaches</w:t>
      </w:r>
      <w:r>
        <w:rPr>
          <w:color w:val="C00000"/>
        </w:rPr>
        <w:t xml:space="preserve"> </w:t>
      </w:r>
      <w:r>
        <w:rPr>
          <w:color w:val="C00000"/>
        </w:rPr>
        <w:t xml:space="preserve">mean ARI</w:t>
      </w:r>
      <w:r>
        <w:rPr>
          <w:color w:val="C00000"/>
        </w:rPr>
        <w:t xml:space="preserve"> </w:t>
      </w:r>
      <m:oMath>
        <m:r>
          <m:t>0.623</m:t>
        </m:r>
      </m:oMath>
      <w:r>
        <w:rPr>
          <w:color w:val="C00000"/>
        </w:rPr>
        <w:t xml:space="preserve"> </w:t>
      </w:r>
      <w:r>
        <w:rPr>
          <w:color w:val="C00000"/>
        </w:rPr>
        <w:t xml:space="preserve">and wins on 5 of 12 datasets. It</w:t>
      </w:r>
      <w:r>
        <w:rPr>
          <w:color w:val="C00000"/>
        </w:rPr>
        <w:t xml:space="preserve"> </w:t>
      </w:r>
      <w:r>
        <w:rPr>
          <w:i/>
          <w:iCs/>
          <w:color w:val="C00000"/>
        </w:rPr>
        <w:t xml:space="preserve">trails</w:t>
      </w:r>
      <w:r>
        <w:rPr>
          <w:color w:val="C00000"/>
        </w:rPr>
        <w:t xml:space="preserve"> </w:t>
      </w:r>
      <w:r>
        <w:rPr>
          <w:color w:val="C00000"/>
        </w:rPr>
        <w:t xml:space="preserve">N2D (</w:t>
      </w:r>
      <m:oMath>
        <m:r>
          <m:t>0.642</m:t>
        </m:r>
      </m:oMath>
      <w:r>
        <w:rPr>
          <w:color w:val="C00000"/>
        </w:rPr>
        <w:t xml:space="preserve">),</w:t>
      </w:r>
      <w:r>
        <w:rPr>
          <w:color w:val="C00000"/>
        </w:rPr>
        <w:t xml:space="preserve"> </w:t>
      </w:r>
      <w:r>
        <w:rPr>
          <w:color w:val="C00000"/>
        </w:rPr>
        <w:t xml:space="preserve">which—like DEAC—builds on UMAP and is the strongest competitor, winning on</w:t>
      </w:r>
      <w:r>
        <w:rPr>
          <w:color w:val="C00000"/>
        </w:rPr>
        <w:t xml:space="preserve"> </w:t>
      </w:r>
      <w:r>
        <w:rPr>
          <w:color w:val="C00000"/>
        </w:rPr>
        <w:t xml:space="preserve">the manifold-structured datasets Olivetti, COIL-20, Satimage, and USPS. The</w:t>
      </w:r>
      <w:r>
        <w:rPr>
          <w:color w:val="C00000"/>
        </w:rPr>
        <w:t xml:space="preserve"> </w:t>
      </w:r>
      <w:r>
        <w:rPr>
          <w:color w:val="C00000"/>
        </w:rPr>
        <w:t xml:space="preserve">embedded-clustering methods DEC, IDEC, and DCN (mean ARI</w:t>
      </w:r>
      <w:r>
        <w:rPr>
          <w:color w:val="C00000"/>
        </w:rPr>
        <w:t xml:space="preserve"> </w:t>
      </w:r>
      <m:oMath>
        <m:r>
          <m:t>0.481</m:t>
        </m:r>
      </m:oMath>
      <w:r>
        <w:rPr>
          <w:color w:val="C00000"/>
        </w:rPr>
        <w:t xml:space="preserve">,</w:t>
      </w:r>
      <w:r>
        <w:rPr>
          <w:color w:val="C00000"/>
        </w:rPr>
        <w:t xml:space="preserve"> </w:t>
      </w:r>
      <m:oMath>
        <m:r>
          <m:t>0.481</m:t>
        </m:r>
      </m:oMath>
      <w:r>
        <w:rPr>
          <w:color w:val="C00000"/>
        </w:rPr>
        <w:t xml:space="preserve">,</w:t>
      </w:r>
      <w:r>
        <w:rPr>
          <w:color w:val="C00000"/>
        </w:rPr>
        <w:t xml:space="preserve"> </w:t>
      </w:r>
      <m:oMath>
        <m:r>
          <m:t>0.470</m:t>
        </m:r>
      </m:oMath>
      <w:r>
        <w:rPr>
          <w:color w:val="C00000"/>
        </w:rPr>
        <w:t xml:space="preserve">) are strong only on small, low-dimensional data and degrade on</w:t>
      </w:r>
      <w:r>
        <w:rPr>
          <w:color w:val="C00000"/>
        </w:rPr>
        <w:t xml:space="preserve"> </w:t>
      </w:r>
      <w:r>
        <w:rPr>
          <w:color w:val="C00000"/>
        </w:rPr>
        <w:t xml:space="preserve">high-dimensional inputs, where DEAC stays stable. Even the label-aware</w:t>
      </w:r>
      <w:r>
        <w:rPr>
          <w:color w:val="C00000"/>
        </w:rPr>
        <w:t xml:space="preserve"> </w:t>
      </w:r>
      <w:r>
        <w:rPr>
          <w:i/>
          <w:iCs/>
          <w:color w:val="C00000"/>
        </w:rPr>
        <w:t xml:space="preserve">oracle</w:t>
      </w:r>
      <w:r>
        <w:rPr>
          <w:color w:val="C00000"/>
        </w:rPr>
        <w:t xml:space="preserve"> </w:t>
      </w:r>
      <w:r>
        <w:rPr>
          <w:color w:val="C00000"/>
        </w:rPr>
        <w:t xml:space="preserve">(</w:t>
      </w:r>
      <m:oMath>
        <m:r>
          <m:t>0.646</m:t>
        </m:r>
      </m:oMath>
      <w:r>
        <w:rPr>
          <w:color w:val="C00000"/>
        </w:rPr>
        <w:t xml:space="preserve">) only matches N2D—so no selection rule over DEAC’s</w:t>
      </w:r>
      <w:r>
        <w:rPr>
          <w:color w:val="C00000"/>
        </w:rPr>
        <w:t xml:space="preserve"> </w:t>
      </w:r>
      <w:r>
        <w:rPr>
          <w:color w:val="C00000"/>
        </w:rPr>
        <w:t xml:space="preserve">engines beats the strongest deep baseline. The honest headline is competitive,</w:t>
      </w:r>
      <w:r>
        <w:rPr>
          <w:color w:val="C00000"/>
        </w:rPr>
        <w:t xml:space="preserve"> </w:t>
      </w:r>
      <w:r>
        <w:rPr>
          <w:color w:val="C00000"/>
        </w:rPr>
        <w:t xml:space="preserve">count-free performance, not dominance.</w:t>
      </w:r>
    </w:p>
    <w:bookmarkStart w:id="71" w:name="tab:deep"/>
    <w:p>
      <w:pPr>
        <w:pStyle w:val="TableCaption"/>
        <w:jc w:val="center"/>
      </w:pPr>
      <w:r>
        <w:rPr>
          <w:rFonts w:ascii="Times New Roman" w:hAnsi="Times New Roman" w:cs="Times New Roman"/>
          <w:color w:val="000000"/>
          <w:sz w:val="20"/>
        </w:rPr>
        <w:t xml:space="preserve">Table 7. </w:t>
      </w:r>
      <w:r>
        <w:rPr>
          <w:rFonts w:ascii="Times New Roman" w:hAnsi="Times New Roman" w:cs="Times New Roman"/>
          <w:color w:val="000000"/>
          <w:sz w:val="20"/>
        </w:rPr>
        <w:t xml:space="preserve">ARI vs. deep-clustering methods (each</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given</w:t>
      </w:r>
      <w:r>
        <w:rPr>
          <w:rFonts w:ascii="Times New Roman" w:hAnsi="Times New Roman" w:cs="Times New Roman"/>
          <w:color w:val="000000"/>
          <w:sz w:val="20"/>
        </w:rPr>
        <w:t xml:space="preserve"> </w:t>
      </w:r>
      <w:r>
        <w:rPr>
          <w:rFonts w:ascii="Times New Roman" w:hAnsi="Times New Roman" w:cs="Times New Roman"/>
          <w:color w:val="000000"/>
          <w:sz w:val="20"/>
        </w:rPr>
        <w:t xml:space="preserve">the true</w:t>
      </w:r>
      <w:r>
        <w:rPr>
          <w:rFonts w:ascii="Times New Roman" w:hAnsi="Times New Roman" w:cs="Times New Roman"/>
          <w:color w:val="000000"/>
          <w:sz w:val="20"/>
        </w:rPr>
        <w:t xml:space="preserve"> </w:t>
      </w:r>
      <m:oMath>
        <m:r>
          <m:t>C</m:t>
        </m:r>
      </m:oMath>
      <w:r>
        <w:rPr>
          <w:rFonts w:ascii="Times New Roman" w:hAnsi="Times New Roman" w:cs="Times New Roman"/>
          <w:color w:val="000000"/>
          <w:sz w:val="20"/>
        </w:rPr>
        <w:t xml:space="preserve">; DEAC infers it). Mean over 5 seeds; DEAC is the deployable gate. Bold = best per row.</w:t>
      </w:r>
    </w:p>
    <w:tbl>
      <w:tblPr>
        <w:tblStyle w:val="Table"/>
        <w:tblW w:type="dxa" w:w="4596"/>
        <w:tblLook w:firstRow="1" w:lastRow="0" w:firstColumn="0" w:lastColumn="0" w:noHBand="0" w:noVBand="0" w:val="0020"/>
        <w:tblCaption w:val="ARI vs. deep-clustering methods (each given the true C; DEAC infers it). Mean over 5 seeds; DEAC is the deployable gate. Bold = best per row."/>
        <w:tblLayout w:type="fixed"/>
      </w:tblPr>
      <w:tblGrid>
        <w:gridCol w:w="766"/>
        <w:gridCol w:w="766"/>
        <w:gridCol w:w="766"/>
        <w:gridCol w:w="766"/>
        <w:gridCol w:w="766"/>
        <w:gridCol w:w="766"/>
      </w:tblGrid>
      <w:tr>
        <w:trPr>
          <w:tblHeader w:val="on"/>
        </w:trPr>
        <w:tc>
          <w:tcPr>
            <w:tcW w:type="dxa" w:w="766"/>
          </w:tcPr>
          <w:p>
            <w:pPr>
              <w:pStyle w:val="Compact"/>
              <w:jc w:val="left"/>
            </w:pPr>
            <w:r>
              <w:rPr>
                <w:sz w:val="18"/>
                <w:szCs w:val="18"/>
              </w:rPr>
              <w:t xml:space="preserve">Dataset</w:t>
            </w:r>
          </w:p>
        </w:tc>
        <w:tc>
          <w:tcPr>
            <w:tcW w:type="dxa" w:w="766"/>
          </w:tcPr>
          <w:p>
            <w:pPr>
              <w:pStyle w:val="Compact"/>
              <w:jc w:val="center"/>
            </w:pPr>
            <w:r>
              <w:rPr>
                <w:b/>
                <w:bCs/>
                <w:sz w:val="18"/>
                <w:szCs w:val="18"/>
              </w:rPr>
              <w:t xml:space="preserve">DEAC</w:t>
            </w:r>
          </w:p>
        </w:tc>
        <w:tc>
          <w:tcPr>
            <w:tcW w:type="dxa" w:w="766"/>
          </w:tcPr>
          <w:p>
            <w:pPr>
              <w:pStyle w:val="Compact"/>
              <w:jc w:val="center"/>
            </w:pPr>
            <w:r>
              <w:rPr>
                <w:sz w:val="18"/>
                <w:szCs w:val="18"/>
              </w:rPr>
              <w:t xml:space="preserve">N2D</w:t>
            </w:r>
          </w:p>
        </w:tc>
        <w:tc>
          <w:tcPr>
            <w:tcW w:type="dxa" w:w="766"/>
          </w:tcPr>
          <w:p>
            <w:pPr>
              <w:pStyle w:val="Compact"/>
              <w:jc w:val="center"/>
            </w:pPr>
            <w:r>
              <w:rPr>
                <w:sz w:val="18"/>
                <w:szCs w:val="18"/>
              </w:rPr>
              <w:t xml:space="preserve">DEC</w:t>
            </w:r>
          </w:p>
        </w:tc>
        <w:tc>
          <w:tcPr>
            <w:tcW w:type="dxa" w:w="766"/>
          </w:tcPr>
          <w:p>
            <w:pPr>
              <w:pStyle w:val="Compact"/>
              <w:jc w:val="center"/>
            </w:pPr>
            <w:r>
              <w:rPr>
                <w:sz w:val="18"/>
                <w:szCs w:val="18"/>
              </w:rPr>
              <w:t xml:space="preserve">IDEC</w:t>
            </w:r>
          </w:p>
        </w:tc>
        <w:tc>
          <w:tcPr>
            <w:tcW w:type="dxa" w:w="766"/>
          </w:tcPr>
          <w:p>
            <w:pPr>
              <w:pStyle w:val="Compact"/>
              <w:jc w:val="center"/>
            </w:pPr>
            <w:r>
              <w:rPr>
                <w:sz w:val="18"/>
                <w:szCs w:val="18"/>
              </w:rPr>
              <w:t xml:space="preserve">DCN</w:t>
            </w:r>
          </w:p>
        </w:tc>
      </w:tr>
      <w:tr>
        <w:tc>
          <w:tcPr>
            <w:tcW w:type="dxa" w:w="766"/>
          </w:tcPr>
          <w:p>
            <w:pPr>
              <w:pStyle w:val="Compact"/>
              <w:jc w:val="left"/>
            </w:pPr>
            <w:r>
              <w:rPr>
                <w:sz w:val="18"/>
                <w:szCs w:val="18"/>
              </w:rPr>
              <w:t xml:space="preserve">Wine</w:t>
            </w:r>
          </w:p>
        </w:tc>
        <w:tc>
          <w:tcPr>
            <w:tcW w:type="dxa" w:w="766"/>
          </w:tcPr>
          <w:p>
            <w:pPr>
              <w:pStyle w:val="Compact"/>
              <w:jc w:val="center"/>
            </w:pPr>
            <w:r>
              <w:rPr>
                <w:sz w:val="18"/>
                <w:szCs w:val="18"/>
              </w:rPr>
              <w:t xml:space="preserve">0.791</w:t>
            </w:r>
          </w:p>
        </w:tc>
        <w:tc>
          <w:tcPr>
            <w:tcW w:type="dxa" w:w="766"/>
          </w:tcPr>
          <w:p>
            <w:pPr>
              <w:pStyle w:val="Compact"/>
              <w:jc w:val="center"/>
            </w:pPr>
            <w:r>
              <w:rPr>
                <w:sz w:val="18"/>
                <w:szCs w:val="18"/>
              </w:rPr>
              <w:t xml:space="preserve">0.798</w:t>
            </w:r>
          </w:p>
        </w:tc>
        <w:tc>
          <w:tcPr>
            <w:tcW w:type="dxa" w:w="766"/>
          </w:tcPr>
          <w:p>
            <w:pPr>
              <w:pStyle w:val="Compact"/>
              <w:jc w:val="center"/>
            </w:pPr>
            <m:oMath>
              <m:r>
                <m:rPr>
                  <m:sty m:val="b"/>
                </m:rPr>
                <m:t>0.870</m:t>
              </m:r>
            </m:oMath>
          </w:p>
        </w:tc>
        <w:tc>
          <w:tcPr>
            <w:tcW w:type="dxa" w:w="766"/>
          </w:tcPr>
          <w:p>
            <w:pPr>
              <w:pStyle w:val="Compact"/>
              <w:jc w:val="center"/>
            </w:pPr>
            <w:r>
              <w:rPr>
                <w:sz w:val="18"/>
                <w:szCs w:val="18"/>
              </w:rPr>
              <w:t xml:space="preserve">0.867</w:t>
            </w:r>
          </w:p>
        </w:tc>
        <w:tc>
          <w:tcPr>
            <w:tcW w:type="dxa" w:w="766"/>
          </w:tcPr>
          <w:p>
            <w:pPr>
              <w:pStyle w:val="Compact"/>
              <w:jc w:val="center"/>
            </w:pPr>
            <w:r>
              <w:rPr>
                <w:sz w:val="18"/>
                <w:szCs w:val="18"/>
              </w:rPr>
              <w:t xml:space="preserve">0.732</w:t>
            </w:r>
          </w:p>
        </w:tc>
      </w:tr>
      <w:tr>
        <w:tc>
          <w:tcPr>
            <w:tcW w:type="dxa" w:w="766"/>
          </w:tcPr>
          <w:p>
            <w:pPr>
              <w:pStyle w:val="Compact"/>
              <w:jc w:val="left"/>
            </w:pPr>
            <w:r>
              <w:rPr>
                <w:sz w:val="18"/>
                <w:szCs w:val="18"/>
              </w:rPr>
              <w:t xml:space="preserve">Glass</w:t>
            </w:r>
          </w:p>
        </w:tc>
        <w:tc>
          <w:tcPr>
            <w:tcW w:type="dxa" w:w="766"/>
          </w:tcPr>
          <w:p>
            <w:pPr>
              <w:pStyle w:val="Compact"/>
              <w:jc w:val="center"/>
            </w:pPr>
            <w:r>
              <w:rPr>
                <w:sz w:val="18"/>
                <w:szCs w:val="18"/>
              </w:rPr>
              <w:t xml:space="preserve">0.169</w:t>
            </w:r>
          </w:p>
        </w:tc>
        <w:tc>
          <w:tcPr>
            <w:tcW w:type="dxa" w:w="766"/>
          </w:tcPr>
          <w:p>
            <w:pPr>
              <w:pStyle w:val="Compact"/>
              <w:jc w:val="center"/>
            </w:pPr>
            <w:r>
              <w:rPr>
                <w:sz w:val="18"/>
                <w:szCs w:val="18"/>
              </w:rPr>
              <w:t xml:space="preserve">0.169</w:t>
            </w:r>
          </w:p>
        </w:tc>
        <w:tc>
          <w:tcPr>
            <w:tcW w:type="dxa" w:w="766"/>
          </w:tcPr>
          <w:p>
            <w:pPr>
              <w:pStyle w:val="Compact"/>
              <w:jc w:val="center"/>
            </w:pPr>
            <m:oMath>
              <m:r>
                <m:rPr>
                  <m:sty m:val="b"/>
                </m:rPr>
                <m:t>0.199</m:t>
              </m:r>
            </m:oMath>
          </w:p>
        </w:tc>
        <w:tc>
          <w:tcPr>
            <w:tcW w:type="dxa" w:w="766"/>
          </w:tcPr>
          <w:p>
            <w:pPr>
              <w:pStyle w:val="Compact"/>
              <w:jc w:val="center"/>
            </w:pPr>
            <w:r>
              <w:rPr>
                <w:sz w:val="18"/>
                <w:szCs w:val="18"/>
              </w:rPr>
              <w:t xml:space="preserve">0.197</w:t>
            </w:r>
          </w:p>
        </w:tc>
        <w:tc>
          <w:tcPr>
            <w:tcW w:type="dxa" w:w="766"/>
          </w:tcPr>
          <w:p>
            <w:pPr>
              <w:pStyle w:val="Compact"/>
              <w:jc w:val="center"/>
            </w:pPr>
            <w:r>
              <w:rPr>
                <w:sz w:val="18"/>
                <w:szCs w:val="18"/>
              </w:rPr>
              <w:t xml:space="preserve">0.171</w:t>
            </w:r>
          </w:p>
        </w:tc>
      </w:tr>
      <w:tr>
        <w:tc>
          <w:tcPr>
            <w:tcW w:type="dxa" w:w="766"/>
          </w:tcPr>
          <w:p>
            <w:pPr>
              <w:pStyle w:val="Compact"/>
              <w:jc w:val="left"/>
            </w:pPr>
            <w:r>
              <w:rPr>
                <w:sz w:val="18"/>
                <w:szCs w:val="18"/>
              </w:rPr>
              <w:t xml:space="preserve">Olivetti</w:t>
            </w:r>
          </w:p>
        </w:tc>
        <w:tc>
          <w:tcPr>
            <w:tcW w:type="dxa" w:w="766"/>
          </w:tcPr>
          <w:p>
            <w:pPr>
              <w:pStyle w:val="Compact"/>
              <w:jc w:val="center"/>
            </w:pPr>
            <w:r>
              <w:rPr>
                <w:sz w:val="18"/>
                <w:szCs w:val="18"/>
              </w:rPr>
              <w:t xml:space="preserve">0.237</w:t>
            </w:r>
          </w:p>
        </w:tc>
        <w:tc>
          <w:tcPr>
            <w:tcW w:type="dxa" w:w="766"/>
          </w:tcPr>
          <w:p>
            <w:pPr>
              <w:pStyle w:val="Compact"/>
              <w:jc w:val="center"/>
            </w:pPr>
            <m:oMath>
              <m:r>
                <m:rPr>
                  <m:sty m:val="b"/>
                </m:rPr>
                <m:t>0.503</m:t>
              </m:r>
            </m:oMath>
          </w:p>
        </w:tc>
        <w:tc>
          <w:tcPr>
            <w:tcW w:type="dxa" w:w="766"/>
          </w:tcPr>
          <w:p>
            <w:pPr>
              <w:pStyle w:val="Compact"/>
              <w:jc w:val="center"/>
            </w:pPr>
            <w:r>
              <w:rPr>
                <w:sz w:val="18"/>
                <w:szCs w:val="18"/>
              </w:rPr>
              <w:t xml:space="preserve">0.461</w:t>
            </w:r>
          </w:p>
        </w:tc>
        <w:tc>
          <w:tcPr>
            <w:tcW w:type="dxa" w:w="766"/>
          </w:tcPr>
          <w:p>
            <w:pPr>
              <w:pStyle w:val="Compact"/>
              <w:jc w:val="center"/>
            </w:pPr>
            <w:r>
              <w:rPr>
                <w:sz w:val="18"/>
                <w:szCs w:val="18"/>
              </w:rPr>
              <w:t xml:space="preserve">0.461</w:t>
            </w:r>
          </w:p>
        </w:tc>
        <w:tc>
          <w:tcPr>
            <w:tcW w:type="dxa" w:w="766"/>
          </w:tcPr>
          <w:p>
            <w:pPr>
              <w:pStyle w:val="Compact"/>
              <w:jc w:val="center"/>
            </w:pPr>
            <w:r>
              <w:rPr>
                <w:sz w:val="18"/>
                <w:szCs w:val="18"/>
              </w:rPr>
              <w:t xml:space="preserve">0.466</w:t>
            </w:r>
          </w:p>
        </w:tc>
      </w:tr>
      <w:tr>
        <w:tc>
          <w:tcPr>
            <w:tcW w:type="dxa" w:w="766"/>
          </w:tcPr>
          <w:p>
            <w:pPr>
              <w:pStyle w:val="Compact"/>
              <w:jc w:val="left"/>
            </w:pPr>
            <w:r>
              <w:rPr>
                <w:sz w:val="18"/>
                <w:szCs w:val="18"/>
              </w:rPr>
              <w:t xml:space="preserve">CNAE-9</w:t>
            </w:r>
          </w:p>
        </w:tc>
        <w:tc>
          <w:tcPr>
            <w:tcW w:type="dxa" w:w="766"/>
          </w:tcPr>
          <w:p>
            <w:pPr>
              <w:pStyle w:val="Compact"/>
              <w:jc w:val="center"/>
            </w:pPr>
            <m:oMath>
              <m:r>
                <m:rPr>
                  <m:sty m:val="b"/>
                </m:rPr>
                <m:t>0.642</m:t>
              </m:r>
            </m:oMath>
          </w:p>
        </w:tc>
        <w:tc>
          <w:tcPr>
            <w:tcW w:type="dxa" w:w="766"/>
          </w:tcPr>
          <w:p>
            <w:pPr>
              <w:pStyle w:val="Compact"/>
              <w:jc w:val="center"/>
            </w:pPr>
            <w:r>
              <w:rPr>
                <w:sz w:val="18"/>
                <w:szCs w:val="18"/>
              </w:rPr>
              <w:t xml:space="preserve">0.468</w:t>
            </w:r>
          </w:p>
        </w:tc>
        <w:tc>
          <w:tcPr>
            <w:tcW w:type="dxa" w:w="766"/>
          </w:tcPr>
          <w:p>
            <w:pPr>
              <w:pStyle w:val="Compact"/>
              <w:jc w:val="center"/>
            </w:pPr>
            <w:r>
              <w:rPr>
                <w:sz w:val="18"/>
                <w:szCs w:val="18"/>
              </w:rPr>
              <w:t xml:space="preserve">0.069</w:t>
            </w:r>
          </w:p>
        </w:tc>
        <w:tc>
          <w:tcPr>
            <w:tcW w:type="dxa" w:w="766"/>
          </w:tcPr>
          <w:p>
            <w:pPr>
              <w:pStyle w:val="Compact"/>
              <w:jc w:val="center"/>
            </w:pPr>
            <w:r>
              <w:rPr>
                <w:sz w:val="18"/>
                <w:szCs w:val="18"/>
              </w:rPr>
              <w:t xml:space="preserve">0.069</w:t>
            </w:r>
          </w:p>
        </w:tc>
        <w:tc>
          <w:tcPr>
            <w:tcW w:type="dxa" w:w="766"/>
          </w:tcPr>
          <w:p>
            <w:pPr>
              <w:pStyle w:val="Compact"/>
              <w:jc w:val="center"/>
            </w:pPr>
            <w:r>
              <w:rPr>
                <w:sz w:val="18"/>
                <w:szCs w:val="18"/>
              </w:rPr>
              <w:t xml:space="preserve">0.019</w:t>
            </w:r>
          </w:p>
        </w:tc>
      </w:tr>
      <w:tr>
        <w:tc>
          <w:tcPr>
            <w:tcW w:type="dxa" w:w="766"/>
          </w:tcPr>
          <w:p>
            <w:pPr>
              <w:pStyle w:val="Compact"/>
              <w:jc w:val="left"/>
            </w:pPr>
            <w:r>
              <w:rPr>
                <w:sz w:val="18"/>
                <w:szCs w:val="18"/>
              </w:rPr>
              <w:t xml:space="preserve">COIL-20</w:t>
            </w:r>
          </w:p>
        </w:tc>
        <w:tc>
          <w:tcPr>
            <w:tcW w:type="dxa" w:w="766"/>
          </w:tcPr>
          <w:p>
            <w:pPr>
              <w:pStyle w:val="Compact"/>
              <w:jc w:val="center"/>
            </w:pPr>
            <w:r>
              <w:rPr>
                <w:sz w:val="18"/>
                <w:szCs w:val="18"/>
              </w:rPr>
              <w:t xml:space="preserve">0.754</w:t>
            </w:r>
          </w:p>
        </w:tc>
        <w:tc>
          <w:tcPr>
            <w:tcW w:type="dxa" w:w="766"/>
          </w:tcPr>
          <w:p>
            <w:pPr>
              <w:pStyle w:val="Compact"/>
              <w:jc w:val="center"/>
            </w:pPr>
            <m:oMath>
              <m:r>
                <m:rPr>
                  <m:sty m:val="b"/>
                </m:rPr>
                <m:t>0.784</m:t>
              </m:r>
            </m:oMath>
          </w:p>
        </w:tc>
        <w:tc>
          <w:tcPr>
            <w:tcW w:type="dxa" w:w="766"/>
          </w:tcPr>
          <w:p>
            <w:pPr>
              <w:pStyle w:val="Compact"/>
              <w:jc w:val="center"/>
            </w:pPr>
            <w:r>
              <w:rPr>
                <w:sz w:val="18"/>
                <w:szCs w:val="18"/>
              </w:rPr>
              <w:t xml:space="preserve">0.504</w:t>
            </w:r>
          </w:p>
        </w:tc>
        <w:tc>
          <w:tcPr>
            <w:tcW w:type="dxa" w:w="766"/>
          </w:tcPr>
          <w:p>
            <w:pPr>
              <w:pStyle w:val="Compact"/>
              <w:jc w:val="center"/>
            </w:pPr>
            <w:r>
              <w:rPr>
                <w:sz w:val="18"/>
                <w:szCs w:val="18"/>
              </w:rPr>
              <w:t xml:space="preserve">0.505</w:t>
            </w:r>
          </w:p>
        </w:tc>
        <w:tc>
          <w:tcPr>
            <w:tcW w:type="dxa" w:w="766"/>
          </w:tcPr>
          <w:p>
            <w:pPr>
              <w:pStyle w:val="Compact"/>
              <w:jc w:val="center"/>
            </w:pPr>
            <w:r>
              <w:rPr>
                <w:sz w:val="18"/>
                <w:szCs w:val="18"/>
              </w:rPr>
              <w:t xml:space="preserve">0.510</w:t>
            </w:r>
          </w:p>
        </w:tc>
      </w:tr>
      <w:tr>
        <w:tc>
          <w:tcPr>
            <w:tcW w:type="dxa" w:w="766"/>
          </w:tcPr>
          <w:p>
            <w:pPr>
              <w:pStyle w:val="Compact"/>
              <w:jc w:val="left"/>
            </w:pPr>
            <w:r>
              <w:rPr>
                <w:sz w:val="18"/>
                <w:szCs w:val="18"/>
              </w:rPr>
              <w:t xml:space="preserve">Optdigits</w:t>
            </w:r>
          </w:p>
        </w:tc>
        <w:tc>
          <w:tcPr>
            <w:tcW w:type="dxa" w:w="766"/>
          </w:tcPr>
          <w:p>
            <w:pPr>
              <w:pStyle w:val="Compact"/>
              <w:jc w:val="center"/>
            </w:pPr>
            <m:oMath>
              <m:r>
                <m:rPr>
                  <m:sty m:val="b"/>
                </m:rPr>
                <m:t>0.848</m:t>
              </m:r>
            </m:oMath>
          </w:p>
        </w:tc>
        <w:tc>
          <w:tcPr>
            <w:tcW w:type="dxa" w:w="766"/>
          </w:tcPr>
          <w:p>
            <w:pPr>
              <w:pStyle w:val="Compact"/>
              <w:jc w:val="center"/>
            </w:pPr>
            <w:r>
              <w:rPr>
                <w:sz w:val="18"/>
                <w:szCs w:val="18"/>
              </w:rPr>
              <w:t xml:space="preserve">0.812</w:t>
            </w:r>
          </w:p>
        </w:tc>
        <w:tc>
          <w:tcPr>
            <w:tcW w:type="dxa" w:w="766"/>
          </w:tcPr>
          <w:p>
            <w:pPr>
              <w:pStyle w:val="Compact"/>
              <w:jc w:val="center"/>
            </w:pPr>
            <w:r>
              <w:rPr>
                <w:sz w:val="18"/>
                <w:szCs w:val="18"/>
              </w:rPr>
              <w:t xml:space="preserve">0.516</w:t>
            </w:r>
          </w:p>
        </w:tc>
        <w:tc>
          <w:tcPr>
            <w:tcW w:type="dxa" w:w="766"/>
          </w:tcPr>
          <w:p>
            <w:pPr>
              <w:pStyle w:val="Compact"/>
              <w:jc w:val="center"/>
            </w:pPr>
            <w:r>
              <w:rPr>
                <w:sz w:val="18"/>
                <w:szCs w:val="18"/>
              </w:rPr>
              <w:t xml:space="preserve">0.517</w:t>
            </w:r>
          </w:p>
        </w:tc>
        <w:tc>
          <w:tcPr>
            <w:tcW w:type="dxa" w:w="766"/>
          </w:tcPr>
          <w:p>
            <w:pPr>
              <w:pStyle w:val="Compact"/>
              <w:jc w:val="center"/>
            </w:pPr>
            <w:r>
              <w:rPr>
                <w:sz w:val="18"/>
                <w:szCs w:val="18"/>
              </w:rPr>
              <w:t xml:space="preserve">0.547</w:t>
            </w:r>
          </w:p>
        </w:tc>
      </w:tr>
      <w:tr>
        <w:tc>
          <w:tcPr>
            <w:tcW w:type="dxa" w:w="766"/>
          </w:tcPr>
          <w:p>
            <w:pPr>
              <w:pStyle w:val="Compact"/>
              <w:jc w:val="left"/>
            </w:pPr>
            <w:r>
              <w:rPr>
                <w:sz w:val="18"/>
                <w:szCs w:val="18"/>
              </w:rPr>
              <w:t xml:space="preserve">MFeat</w:t>
            </w:r>
          </w:p>
        </w:tc>
        <w:tc>
          <w:tcPr>
            <w:tcW w:type="dxa" w:w="766"/>
          </w:tcPr>
          <w:p>
            <w:pPr>
              <w:pStyle w:val="Compact"/>
              <w:jc w:val="center"/>
            </w:pPr>
            <m:oMath>
              <m:r>
                <m:rPr>
                  <m:sty m:val="b"/>
                </m:rPr>
                <m:t>0.939</m:t>
              </m:r>
            </m:oMath>
          </w:p>
        </w:tc>
        <w:tc>
          <w:tcPr>
            <w:tcW w:type="dxa" w:w="766"/>
          </w:tcPr>
          <w:p>
            <w:pPr>
              <w:pStyle w:val="Compact"/>
              <w:jc w:val="center"/>
            </w:pPr>
            <w:r>
              <w:rPr>
                <w:sz w:val="18"/>
                <w:szCs w:val="18"/>
              </w:rPr>
              <w:t xml:space="preserve">0.921</w:t>
            </w:r>
          </w:p>
        </w:tc>
        <w:tc>
          <w:tcPr>
            <w:tcW w:type="dxa" w:w="766"/>
          </w:tcPr>
          <w:p>
            <w:pPr>
              <w:pStyle w:val="Compact"/>
              <w:jc w:val="center"/>
            </w:pPr>
            <w:r>
              <w:rPr>
                <w:sz w:val="18"/>
                <w:szCs w:val="18"/>
              </w:rPr>
              <w:t xml:space="preserve">0.701</w:t>
            </w:r>
          </w:p>
        </w:tc>
        <w:tc>
          <w:tcPr>
            <w:tcW w:type="dxa" w:w="766"/>
          </w:tcPr>
          <w:p>
            <w:pPr>
              <w:pStyle w:val="Compact"/>
              <w:jc w:val="center"/>
            </w:pPr>
            <w:r>
              <w:rPr>
                <w:sz w:val="18"/>
                <w:szCs w:val="18"/>
              </w:rPr>
              <w:t xml:space="preserve">0.703</w:t>
            </w:r>
          </w:p>
        </w:tc>
        <w:tc>
          <w:tcPr>
            <w:tcW w:type="dxa" w:w="766"/>
          </w:tcPr>
          <w:p>
            <w:pPr>
              <w:pStyle w:val="Compact"/>
              <w:jc w:val="center"/>
            </w:pPr>
            <w:r>
              <w:rPr>
                <w:sz w:val="18"/>
                <w:szCs w:val="18"/>
              </w:rPr>
              <w:t xml:space="preserve">0.769</w:t>
            </w:r>
          </w:p>
        </w:tc>
      </w:tr>
      <w:tr>
        <w:tc>
          <w:tcPr>
            <w:tcW w:type="dxa" w:w="766"/>
          </w:tcPr>
          <w:p>
            <w:pPr>
              <w:pStyle w:val="Compact"/>
              <w:jc w:val="left"/>
            </w:pPr>
            <w:r>
              <w:rPr>
                <w:sz w:val="18"/>
                <w:szCs w:val="18"/>
              </w:rPr>
              <w:t xml:space="preserve">Segment.</w:t>
            </w:r>
          </w:p>
        </w:tc>
        <w:tc>
          <w:tcPr>
            <w:tcW w:type="dxa" w:w="766"/>
          </w:tcPr>
          <w:p>
            <w:pPr>
              <w:pStyle w:val="Compact"/>
              <w:jc w:val="center"/>
            </w:pPr>
            <m:oMath>
              <m:r>
                <m:rPr>
                  <m:sty m:val="b"/>
                </m:rPr>
                <m:t>0.413</m:t>
              </m:r>
            </m:oMath>
          </w:p>
        </w:tc>
        <w:tc>
          <w:tcPr>
            <w:tcW w:type="dxa" w:w="766"/>
          </w:tcPr>
          <w:p>
            <w:pPr>
              <w:pStyle w:val="Compact"/>
              <w:jc w:val="center"/>
            </w:pPr>
            <w:r>
              <w:rPr>
                <w:sz w:val="18"/>
                <w:szCs w:val="18"/>
              </w:rPr>
              <w:t xml:space="preserve">0.387</w:t>
            </w:r>
          </w:p>
        </w:tc>
        <w:tc>
          <w:tcPr>
            <w:tcW w:type="dxa" w:w="766"/>
          </w:tcPr>
          <w:p>
            <w:pPr>
              <w:pStyle w:val="Compact"/>
              <w:jc w:val="center"/>
            </w:pPr>
            <w:r>
              <w:rPr>
                <w:sz w:val="18"/>
                <w:szCs w:val="18"/>
              </w:rPr>
              <w:t xml:space="preserve">0.408</w:t>
            </w:r>
          </w:p>
        </w:tc>
        <w:tc>
          <w:tcPr>
            <w:tcW w:type="dxa" w:w="766"/>
          </w:tcPr>
          <w:p>
            <w:pPr>
              <w:pStyle w:val="Compact"/>
              <w:jc w:val="center"/>
            </w:pPr>
            <w:r>
              <w:rPr>
                <w:sz w:val="18"/>
                <w:szCs w:val="18"/>
              </w:rPr>
              <w:t xml:space="preserve">0.411</w:t>
            </w:r>
          </w:p>
        </w:tc>
        <w:tc>
          <w:tcPr>
            <w:tcW w:type="dxa" w:w="766"/>
          </w:tcPr>
          <w:p>
            <w:pPr>
              <w:pStyle w:val="Compact"/>
              <w:jc w:val="center"/>
            </w:pPr>
            <w:r>
              <w:rPr>
                <w:sz w:val="18"/>
                <w:szCs w:val="18"/>
              </w:rPr>
              <w:t xml:space="preserve">0.408</w:t>
            </w:r>
          </w:p>
        </w:tc>
      </w:tr>
      <w:tr>
        <w:tc>
          <w:tcPr>
            <w:tcW w:type="dxa" w:w="766"/>
          </w:tcPr>
          <w:p>
            <w:pPr>
              <w:pStyle w:val="Compact"/>
              <w:jc w:val="left"/>
            </w:pPr>
            <w:r>
              <w:rPr>
                <w:sz w:val="18"/>
                <w:szCs w:val="18"/>
              </w:rPr>
              <w:t xml:space="preserve">ISOLET</w:t>
            </w:r>
          </w:p>
        </w:tc>
        <w:tc>
          <w:tcPr>
            <w:tcW w:type="dxa" w:w="766"/>
          </w:tcPr>
          <w:p>
            <w:pPr>
              <w:pStyle w:val="Compact"/>
              <w:jc w:val="center"/>
            </w:pPr>
            <w:r>
              <w:rPr>
                <w:sz w:val="18"/>
                <w:szCs w:val="18"/>
              </w:rPr>
              <w:t xml:space="preserve">0.476</w:t>
            </w:r>
          </w:p>
        </w:tc>
        <w:tc>
          <w:tcPr>
            <w:tcW w:type="dxa" w:w="766"/>
          </w:tcPr>
          <w:p>
            <w:pPr>
              <w:pStyle w:val="Compact"/>
              <w:jc w:val="center"/>
            </w:pPr>
            <m:oMath>
              <m:r>
                <m:rPr>
                  <m:sty m:val="b"/>
                </m:rPr>
                <m:t>0.496</m:t>
              </m:r>
            </m:oMath>
          </w:p>
        </w:tc>
        <w:tc>
          <w:tcPr>
            <w:tcW w:type="dxa" w:w="766"/>
          </w:tcPr>
          <w:p>
            <w:pPr>
              <w:pStyle w:val="Compact"/>
              <w:jc w:val="center"/>
            </w:pPr>
            <w:r>
              <w:rPr>
                <w:sz w:val="18"/>
                <w:szCs w:val="18"/>
              </w:rPr>
              <w:t xml:space="preserve">0.382</w:t>
            </w:r>
          </w:p>
        </w:tc>
        <w:tc>
          <w:tcPr>
            <w:tcW w:type="dxa" w:w="766"/>
          </w:tcPr>
          <w:p>
            <w:pPr>
              <w:pStyle w:val="Compact"/>
              <w:jc w:val="center"/>
            </w:pPr>
            <w:r>
              <w:rPr>
                <w:sz w:val="18"/>
                <w:szCs w:val="18"/>
              </w:rPr>
              <w:t xml:space="preserve">0.385</w:t>
            </w:r>
          </w:p>
        </w:tc>
        <w:tc>
          <w:tcPr>
            <w:tcW w:type="dxa" w:w="766"/>
          </w:tcPr>
          <w:p>
            <w:pPr>
              <w:pStyle w:val="Compact"/>
              <w:jc w:val="center"/>
            </w:pPr>
            <w:r>
              <w:rPr>
                <w:sz w:val="18"/>
                <w:szCs w:val="18"/>
              </w:rPr>
              <w:t xml:space="preserve">0.400</w:t>
            </w:r>
          </w:p>
        </w:tc>
      </w:tr>
      <w:tr>
        <w:tc>
          <w:tcPr>
            <w:tcW w:type="dxa" w:w="766"/>
          </w:tcPr>
          <w:p>
            <w:pPr>
              <w:pStyle w:val="Compact"/>
              <w:jc w:val="left"/>
            </w:pPr>
            <w:r>
              <w:rPr>
                <w:sz w:val="18"/>
                <w:szCs w:val="18"/>
              </w:rPr>
              <w:t xml:space="preserve">Satimage</w:t>
            </w:r>
          </w:p>
        </w:tc>
        <w:tc>
          <w:tcPr>
            <w:tcW w:type="dxa" w:w="766"/>
          </w:tcPr>
          <w:p>
            <w:pPr>
              <w:pStyle w:val="Compact"/>
              <w:jc w:val="center"/>
            </w:pPr>
            <w:r>
              <w:rPr>
                <w:sz w:val="18"/>
                <w:szCs w:val="18"/>
              </w:rPr>
              <w:t xml:space="preserve">0.525</w:t>
            </w:r>
          </w:p>
        </w:tc>
        <w:tc>
          <w:tcPr>
            <w:tcW w:type="dxa" w:w="766"/>
          </w:tcPr>
          <w:p>
            <w:pPr>
              <w:pStyle w:val="Compact"/>
              <w:jc w:val="center"/>
            </w:pPr>
            <m:oMath>
              <m:r>
                <m:rPr>
                  <m:sty m:val="b"/>
                </m:rPr>
                <m:t>0.658</m:t>
              </m:r>
            </m:oMath>
          </w:p>
        </w:tc>
        <w:tc>
          <w:tcPr>
            <w:tcW w:type="dxa" w:w="766"/>
          </w:tcPr>
          <w:p>
            <w:pPr>
              <w:pStyle w:val="Compact"/>
              <w:jc w:val="center"/>
            </w:pPr>
            <w:r>
              <w:rPr>
                <w:sz w:val="18"/>
                <w:szCs w:val="18"/>
              </w:rPr>
              <w:t xml:space="preserve">0.550</w:t>
            </w:r>
          </w:p>
        </w:tc>
        <w:tc>
          <w:tcPr>
            <w:tcW w:type="dxa" w:w="766"/>
          </w:tcPr>
          <w:p>
            <w:pPr>
              <w:pStyle w:val="Compact"/>
              <w:jc w:val="center"/>
            </w:pPr>
            <w:r>
              <w:rPr>
                <w:sz w:val="18"/>
                <w:szCs w:val="18"/>
              </w:rPr>
              <w:t xml:space="preserve">0.550</w:t>
            </w:r>
          </w:p>
        </w:tc>
        <w:tc>
          <w:tcPr>
            <w:tcW w:type="dxa" w:w="766"/>
          </w:tcPr>
          <w:p>
            <w:pPr>
              <w:pStyle w:val="Compact"/>
              <w:jc w:val="center"/>
            </w:pPr>
            <w:r>
              <w:rPr>
                <w:sz w:val="18"/>
                <w:szCs w:val="18"/>
              </w:rPr>
              <w:t xml:space="preserve">0.544</w:t>
            </w:r>
          </w:p>
        </w:tc>
      </w:tr>
      <w:tr>
        <w:tc>
          <w:tcPr>
            <w:tcW w:type="dxa" w:w="766"/>
          </w:tcPr>
          <w:p>
            <w:pPr>
              <w:pStyle w:val="Compact"/>
              <w:jc w:val="left"/>
            </w:pPr>
            <w:r>
              <w:rPr>
                <w:sz w:val="18"/>
                <w:szCs w:val="18"/>
              </w:rPr>
              <w:t xml:space="preserve">USPS</w:t>
            </w:r>
          </w:p>
        </w:tc>
        <w:tc>
          <w:tcPr>
            <w:tcW w:type="dxa" w:w="766"/>
          </w:tcPr>
          <w:p>
            <w:pPr>
              <w:pStyle w:val="Compact"/>
              <w:jc w:val="center"/>
            </w:pPr>
            <w:r>
              <w:rPr>
                <w:sz w:val="18"/>
                <w:szCs w:val="18"/>
              </w:rPr>
              <w:t xml:space="preserve">0.871</w:t>
            </w:r>
          </w:p>
        </w:tc>
        <w:tc>
          <w:tcPr>
            <w:tcW w:type="dxa" w:w="766"/>
          </w:tcPr>
          <w:p>
            <w:pPr>
              <w:pStyle w:val="Compact"/>
              <w:jc w:val="center"/>
            </w:pPr>
            <m:oMath>
              <m:r>
                <m:rPr>
                  <m:sty m:val="b"/>
                </m:rPr>
                <m:t>0.930</m:t>
              </m:r>
            </m:oMath>
          </w:p>
        </w:tc>
        <w:tc>
          <w:tcPr>
            <w:tcW w:type="dxa" w:w="766"/>
          </w:tcPr>
          <w:p>
            <w:pPr>
              <w:pStyle w:val="Compact"/>
              <w:jc w:val="center"/>
            </w:pPr>
            <w:r>
              <w:rPr>
                <w:sz w:val="18"/>
                <w:szCs w:val="18"/>
              </w:rPr>
              <w:t xml:space="preserve">0.561</w:t>
            </w:r>
          </w:p>
        </w:tc>
        <w:tc>
          <w:tcPr>
            <w:tcW w:type="dxa" w:w="766"/>
          </w:tcPr>
          <w:p>
            <w:pPr>
              <w:pStyle w:val="Compact"/>
              <w:jc w:val="center"/>
            </w:pPr>
            <w:r>
              <w:rPr>
                <w:sz w:val="18"/>
                <w:szCs w:val="18"/>
              </w:rPr>
              <w:t xml:space="preserve">0.562</w:t>
            </w:r>
          </w:p>
        </w:tc>
        <w:tc>
          <w:tcPr>
            <w:tcW w:type="dxa" w:w="766"/>
          </w:tcPr>
          <w:p>
            <w:pPr>
              <w:pStyle w:val="Compact"/>
              <w:jc w:val="center"/>
            </w:pPr>
            <w:r>
              <w:rPr>
                <w:sz w:val="18"/>
                <w:szCs w:val="18"/>
              </w:rPr>
              <w:t xml:space="preserve">0.508</w:t>
            </w:r>
          </w:p>
        </w:tc>
      </w:tr>
      <w:tr>
        <w:tc>
          <w:tcPr>
            <w:tcW w:type="dxa" w:w="766"/>
          </w:tcPr>
          <w:p>
            <w:pPr>
              <w:pStyle w:val="Compact"/>
              <w:jc w:val="left"/>
            </w:pPr>
            <w:r>
              <w:rPr>
                <w:sz w:val="18"/>
                <w:szCs w:val="18"/>
              </w:rPr>
              <w:t xml:space="preserve">PenDigits</w:t>
            </w:r>
          </w:p>
        </w:tc>
        <w:tc>
          <w:tcPr>
            <w:tcW w:type="dxa" w:w="766"/>
          </w:tcPr>
          <w:p>
            <w:pPr>
              <w:pStyle w:val="Compact"/>
              <w:jc w:val="center"/>
            </w:pPr>
            <m:oMath>
              <m:r>
                <m:rPr>
                  <m:sty m:val="b"/>
                </m:rPr>
                <m:t>0.811</m:t>
              </m:r>
            </m:oMath>
          </w:p>
        </w:tc>
        <w:tc>
          <w:tcPr>
            <w:tcW w:type="dxa" w:w="766"/>
          </w:tcPr>
          <w:p>
            <w:pPr>
              <w:pStyle w:val="Compact"/>
              <w:jc w:val="center"/>
            </w:pPr>
            <w:r>
              <w:rPr>
                <w:sz w:val="18"/>
                <w:szCs w:val="18"/>
              </w:rPr>
              <w:t xml:space="preserve">0.778</w:t>
            </w:r>
          </w:p>
        </w:tc>
        <w:tc>
          <w:tcPr>
            <w:tcW w:type="dxa" w:w="766"/>
          </w:tcPr>
          <w:p>
            <w:pPr>
              <w:pStyle w:val="Compact"/>
              <w:jc w:val="center"/>
            </w:pPr>
            <w:r>
              <w:rPr>
                <w:sz w:val="18"/>
                <w:szCs w:val="18"/>
              </w:rPr>
              <w:t xml:space="preserve">0.551</w:t>
            </w:r>
          </w:p>
        </w:tc>
        <w:tc>
          <w:tcPr>
            <w:tcW w:type="dxa" w:w="766"/>
          </w:tcPr>
          <w:p>
            <w:pPr>
              <w:pStyle w:val="Compact"/>
              <w:jc w:val="center"/>
            </w:pPr>
            <w:r>
              <w:rPr>
                <w:sz w:val="18"/>
                <w:szCs w:val="18"/>
              </w:rPr>
              <w:t xml:space="preserve">0.551</w:t>
            </w:r>
          </w:p>
        </w:tc>
        <w:tc>
          <w:tcPr>
            <w:tcW w:type="dxa" w:w="766"/>
          </w:tcPr>
          <w:p>
            <w:pPr>
              <w:pStyle w:val="Compact"/>
              <w:jc w:val="center"/>
            </w:pPr>
            <w:r>
              <w:rPr>
                <w:sz w:val="18"/>
                <w:szCs w:val="18"/>
              </w:rPr>
              <w:t xml:space="preserve">0.561</w:t>
            </w:r>
          </w:p>
        </w:tc>
      </w:tr>
      <w:tr>
        <w:tc>
          <w:tcPr>
            <w:tcW w:type="dxa" w:w="766"/>
          </w:tcPr>
          <w:p>
            <w:pPr>
              <w:pStyle w:val="Compact"/>
              <w:jc w:val="left"/>
            </w:pPr>
            <w:r>
              <w:rPr>
                <w:b/>
                <w:bCs/>
                <w:sz w:val="18"/>
                <w:szCs w:val="18"/>
              </w:rPr>
              <w:t xml:space="preserve">Mean</w:t>
            </w:r>
          </w:p>
        </w:tc>
        <w:tc>
          <w:tcPr>
            <w:tcW w:type="dxa" w:w="766"/>
          </w:tcPr>
          <w:p>
            <w:pPr>
              <w:pStyle w:val="Compact"/>
              <w:jc w:val="center"/>
            </w:pPr>
            <w:r>
              <w:rPr>
                <w:sz w:val="18"/>
                <w:szCs w:val="18"/>
              </w:rPr>
              <w:t xml:space="preserve">0.623</w:t>
            </w:r>
          </w:p>
        </w:tc>
        <w:tc>
          <w:tcPr>
            <w:tcW w:type="dxa" w:w="766"/>
          </w:tcPr>
          <w:p>
            <w:pPr>
              <w:pStyle w:val="Compact"/>
              <w:jc w:val="center"/>
            </w:pPr>
            <m:oMath>
              <m:r>
                <m:rPr>
                  <m:sty m:val="b"/>
                </m:rPr>
                <m:t>0.642</m:t>
              </m:r>
            </m:oMath>
          </w:p>
        </w:tc>
        <w:tc>
          <w:tcPr>
            <w:tcW w:type="dxa" w:w="766"/>
          </w:tcPr>
          <w:p>
            <w:pPr>
              <w:pStyle w:val="Compact"/>
              <w:jc w:val="center"/>
            </w:pPr>
            <w:r>
              <w:rPr>
                <w:sz w:val="18"/>
                <w:szCs w:val="18"/>
              </w:rPr>
              <w:t xml:space="preserve">0.481</w:t>
            </w:r>
          </w:p>
        </w:tc>
        <w:tc>
          <w:tcPr>
            <w:tcW w:type="dxa" w:w="766"/>
          </w:tcPr>
          <w:p>
            <w:pPr>
              <w:pStyle w:val="Compact"/>
              <w:jc w:val="center"/>
            </w:pPr>
            <w:r>
              <w:rPr>
                <w:sz w:val="18"/>
                <w:szCs w:val="18"/>
              </w:rPr>
              <w:t xml:space="preserve">0.481</w:t>
            </w:r>
          </w:p>
        </w:tc>
        <w:tc>
          <w:tcPr>
            <w:tcW w:type="dxa" w:w="766"/>
          </w:tcPr>
          <w:p>
            <w:pPr>
              <w:pStyle w:val="Compact"/>
              <w:jc w:val="center"/>
            </w:pPr>
            <w:r>
              <w:rPr>
                <w:sz w:val="18"/>
                <w:szCs w:val="18"/>
              </w:rPr>
              <w:t xml:space="preserve">0.470</w:t>
            </w:r>
          </w:p>
        </w:tc>
      </w:tr>
    </w:tbl>
    <w:bookmarkEnd w:id="71"/>
    <w:p>
      <w:pPr>
        <w:pStyle w:val="BodyText"/>
        <w:spacing w:before="0" w:after="0" w:line="240" w:lineRule="auto"/>
        <w:ind w:firstLine="330"/>
        <w:jc w:val="both"/>
      </w:pPr>
      <w:r>
        <w:rPr>
          <w:color w:val="C00000"/>
        </w:rPr>
        <w:t xml:space="preserve">A dataset-level statistical analysis (Table </w:t>
      </w:r>
      <w:hyperlink w:anchor="tab:stats">
        <w:r>
          <w:rPr>
            <w:rStyle w:val="Hyperlink"/>
          </w:rPr>
          <w:t xml:space="preserve">13</w:t>
        </w:r>
      </w:hyperlink>
      <w:r>
        <w:rPr>
          <w:color w:val="C00000"/>
        </w:rPr>
        <w:t xml:space="preserve">) makes the picture</w:t>
      </w:r>
      <w:r>
        <w:rPr>
          <w:color w:val="C00000"/>
        </w:rPr>
        <w:t xml:space="preserve"> </w:t>
      </w:r>
      <w:r>
        <w:rPr>
          <w:color w:val="C00000"/>
        </w:rPr>
        <w:t xml:space="preserve">precise, and it is sobering. After Holm–Bonferroni correction over the nine</w:t>
      </w:r>
      <w:r>
        <w:rPr>
          <w:color w:val="C00000"/>
        </w:rPr>
        <w:t xml:space="preserve"> </w:t>
      </w:r>
      <w:r>
        <w:rPr>
          <w:color w:val="C00000"/>
        </w:rPr>
        <w:t xml:space="preserve">comparisons, the deployable gate significantly exceeds only the two weakest</w:t>
      </w:r>
      <w:r>
        <w:rPr>
          <w:color w:val="C00000"/>
        </w:rPr>
        <w:t xml:space="preserve"> </w:t>
      </w:r>
      <w:r>
        <w:rPr>
          <w:color w:val="C00000"/>
        </w:rPr>
        <w:t xml:space="preserve">baselines (Spectral and HDBSCAN,</w:t>
      </w:r>
      <w:r>
        <w:rPr>
          <w:color w:val="C00000"/>
        </w:rPr>
        <w:t xml:space="preserve"> </w:t>
      </w:r>
      <m:oMath>
        <m:sSub>
          <m:e>
            <m:r>
              <m:t>p</m:t>
            </m:r>
          </m:e>
          <m:sub>
            <m:r>
              <m:rPr>
                <m:nor/>
                <m:sty m:val="p"/>
              </m:rPr>
              <m:t>Holm</m:t>
            </m:r>
          </m:sub>
        </m:sSub>
        <m:r>
          <m:rPr>
            <m:sty m:val="p"/>
          </m:rPr>
          <m:t>=</m:t>
        </m:r>
        <m:r>
          <m:t>0.004</m:t>
        </m:r>
      </m:oMath>
      <w:r>
        <w:rPr>
          <w:color w:val="C00000"/>
        </w:rPr>
        <w:t xml:space="preserve">). It is statistically</w:t>
      </w:r>
      <w:r>
        <w:rPr>
          <w:color w:val="C00000"/>
        </w:rPr>
        <w:t xml:space="preserve"> </w:t>
      </w:r>
      <w:r>
        <w:rPr>
          <w:i/>
          <w:iCs/>
          <w:color w:val="C00000"/>
        </w:rPr>
        <w:t xml:space="preserve">indistinguishable</w:t>
      </w:r>
      <w:r>
        <w:rPr>
          <w:color w:val="C00000"/>
        </w:rPr>
        <w:t xml:space="preserve"> </w:t>
      </w:r>
      <w:r>
        <w:rPr>
          <w:color w:val="C00000"/>
        </w:rPr>
        <w:t xml:space="preserve">from KMeans, GMM, Agglomerative, DEC, IDEC, and DCN,</w:t>
      </w:r>
      <w:r>
        <w:rPr>
          <w:color w:val="C00000"/>
        </w:rPr>
        <w:t xml:space="preserve"> </w:t>
      </w:r>
      <w:r>
        <w:rPr>
          <w:color w:val="C00000"/>
        </w:rPr>
        <w:t xml:space="preserve">and it trails N2D. We therefore claim competitive—not superior—performance;</w:t>
      </w:r>
      <w:r>
        <w:rPr>
          <w:color w:val="C00000"/>
        </w:rPr>
        <w:t xml:space="preserve"> </w:t>
      </w:r>
      <w:r>
        <w:rPr>
          <w:color w:val="C00000"/>
        </w:rPr>
        <w:t xml:space="preserve">the contribution of this paper is diagnostic (the internal–external</w:t>
      </w:r>
      <w:r>
        <w:rPr>
          <w:color w:val="C00000"/>
        </w:rPr>
        <w:t xml:space="preserve"> </w:t>
      </w:r>
      <w:r>
        <w:rPr>
          <w:color w:val="C00000"/>
        </w:rPr>
        <w:t xml:space="preserve">misalignment and the oracle–deployable gap), not a new state of the art. These</w:t>
      </w:r>
      <w:r>
        <w:rPr>
          <w:color w:val="C00000"/>
        </w:rPr>
        <w:t xml:space="preserve"> </w:t>
      </w:r>
      <w:r>
        <w:rPr>
          <w:color w:val="C00000"/>
        </w:rPr>
        <w:t xml:space="preserve">are all established baselines, so two very recent methods test whether the same</w:t>
      </w:r>
      <w:r>
        <w:rPr>
          <w:color w:val="C00000"/>
        </w:rPr>
        <w:t xml:space="preserve"> </w:t>
      </w:r>
      <w:r>
        <w:rPr>
          <w:color w:val="C00000"/>
        </w:rPr>
        <w:t xml:space="preserve">standing holds against the current state of the art.</w:t>
      </w:r>
    </w:p>
    <w:bookmarkEnd w:id="72"/>
    <w:bookmarkStart w:id="74" w:name="comparison-with-recent-methods"/>
    <w:p>
      <w:pPr>
        <w:pStyle w:val="Heading2"/>
        <w:jc w:val="left"/>
      </w:pPr>
      <w:r>
        <w:rPr>
          <w:rFonts w:ascii="Times New Roman" w:hAnsi="Times New Roman" w:cs="Times New Roman"/>
          <w:b/>
          <w:color w:val="C00000"/>
          <w:sz w:val="22"/>
        </w:rPr>
        <w:t>Comparison with Recent Methods</w:t>
      </w:r>
    </w:p>
    <w:p>
      <w:pPr>
        <w:pStyle w:val="FirstParagraph"/>
        <w:spacing w:before="0" w:after="0" w:line="240" w:lineRule="auto"/>
        <w:ind w:firstLine="330"/>
        <w:jc w:val="both"/>
      </w:pPr>
      <w:r>
        <w:rPr>
          <w:color w:val="C00000"/>
        </w:rPr>
        <w:t xml:space="preserve">We additionally compare against two recent clustering methods: DPC-AKNN [17], a 2026 density-peak method with adaptive KNN and geodesic distance, and PRCut [34], a 2025 probabilistic ratio-cut deep method. Both are given the true cluster count; PRCut is run on the</w:t>
      </w:r>
      <w:r>
        <w:rPr>
          <w:color w:val="C00000"/>
        </w:rPr>
        <w:t xml:space="preserve"> </w:t>
      </w:r>
      <w:r>
        <w:rPr>
          <w:i/>
          <w:iCs/>
          <w:color w:val="C00000"/>
        </w:rPr>
        <w:t xml:space="preserve">same</w:t>
      </w:r>
      <w:r>
        <w:rPr>
          <w:color w:val="C00000"/>
        </w:rPr>
        <w:t xml:space="preserve"> </w:t>
      </w:r>
      <w:r>
        <w:rPr>
          <w:color w:val="C00000"/>
        </w:rPr>
        <w:t xml:space="preserve">UMAP representation as our engines (a controlled common-representation comparison) using the authors’ released implementation, while DPC-AKNN uses its native raw-feature geodesic pipeline. Table </w:t>
      </w:r>
      <w:hyperlink w:anchor="tab:recent">
        <w:r>
          <w:rPr>
            <w:rStyle w:val="Hyperlink"/>
          </w:rPr>
          <w:t xml:space="preserve">8</w:t>
        </w:r>
      </w:hyperlink>
      <w:r>
        <w:rPr>
          <w:color w:val="C00000"/>
        </w:rPr>
        <w:t xml:space="preserve"> </w:t>
      </w:r>
      <w:r>
        <w:rPr>
          <w:color w:val="C00000"/>
        </w:rPr>
        <w:t xml:space="preserve">shows the deployable gate (0.623) and EMR-CGC (0.631) are on par with PRCut (0.631) and close to N2D (0.642), and well above DPC-AKNN (0.420)—while, unlike all three comparators, inferring the cluster count rather than being told it. Being competitive with the latest methods</w:t>
      </w:r>
      <w:r>
        <w:rPr>
          <w:color w:val="C00000"/>
        </w:rPr>
        <w:t xml:space="preserve"> </w:t>
      </w:r>
      <w:r>
        <w:rPr>
          <w:i/>
          <w:iCs/>
          <w:color w:val="C00000"/>
        </w:rPr>
        <w:t xml:space="preserve">without</w:t>
      </w:r>
      <w:r>
        <w:rPr>
          <w:color w:val="C00000"/>
        </w:rPr>
        <w:t xml:space="preserve"> </w:t>
      </w:r>
      <w:r>
        <w:rPr>
          <w:color w:val="C00000"/>
        </w:rPr>
        <w:t xml:space="preserve">the count, not beating them, is the honest claim. Whether this standing survives on metrics beyond ARI is the next check.</w:t>
      </w:r>
    </w:p>
    <w:bookmarkStart w:id="73" w:name="tab:recent"/>
    <w:p>
      <w:pPr>
        <w:pStyle w:val="TableCaption"/>
        <w:jc w:val="center"/>
      </w:pPr>
      <w:r>
        <w:rPr>
          <w:rFonts w:ascii="Times New Roman" w:hAnsi="Times New Roman" w:cs="Times New Roman"/>
          <w:color w:val="000000"/>
          <w:sz w:val="20"/>
        </w:rPr>
        <w:t xml:space="preserve">Table 8. </w:t>
      </w:r>
      <w:r>
        <w:rPr>
          <w:rFonts w:ascii="Times New Roman" w:hAnsi="Times New Roman" w:cs="Times New Roman"/>
          <w:color w:val="000000"/>
          <w:sz w:val="20"/>
        </w:rPr>
        <w:t xml:space="preserve">Comparison with recent methods (mean ARI over 12 datasets). DPC-AKNN and PRCut, like the deep baselines, are given the true cluster count; our gate and EMR-CGC infer it. PRCut is run on the same UMAP representation (common-representation comparison); DPC-AKNN uses its native raw-feature geodesic pipeline (stratified cap 2000, its</w:t>
      </w:r>
      <w:r>
        <w:rPr>
          <w:rFonts w:ascii="Times New Roman" w:hAnsi="Times New Roman" w:cs="Times New Roman"/>
          <w:color w:val="000000"/>
          <w:sz w:val="20"/>
        </w:rPr>
        <w:t xml:space="preserve"> </w:t>
      </w:r>
      <m:oMath>
        <m:r>
          <m:t>O</m:t>
        </m:r>
        <m:r>
          <m:rPr>
            <m:sty m:val="p"/>
          </m:rPr>
          <m:t>(</m:t>
        </m:r>
        <m:sSup>
          <m:e>
            <m:r>
              <m:t>n</m:t>
            </m:r>
          </m:e>
          <m:sup>
            <m:r>
              <m:t>3</m:t>
            </m:r>
          </m:sup>
        </m:sSup>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cost). Our label-free method is on par with PRCut and N2D and well above DPC-AKNN, without being told</w:t>
      </w:r>
      <w:r>
        <w:rPr>
          <w:rFonts w:ascii="Times New Roman" w:hAnsi="Times New Roman" w:cs="Times New Roman"/>
          <w:color w:val="000000"/>
          <w:sz w:val="20"/>
        </w:rPr>
        <w:t xml:space="preserve"> </w:t>
      </w:r>
      <m:oMath>
        <m:r>
          <m:t>C</m:t>
        </m:r>
      </m:oMath>
      <w:r>
        <w:rPr>
          <w:rFonts w:ascii="Times New Roman" w:hAnsi="Times New Roman" w:cs="Times New Roman"/>
          <w:color w:val="000000"/>
          <w:sz w:val="20"/>
        </w:rPr>
        <w:t xml:space="preserve">.</w:t>
      </w:r>
    </w:p>
    <w:tbl>
      <w:tblPr>
        <w:tblStyle w:val="Table"/>
        <w:tblW w:type="dxa" w:w="4596"/>
        <w:tblLook w:firstRow="1" w:lastRow="0" w:firstColumn="0" w:lastColumn="0" w:noHBand="0" w:noVBand="0" w:val="0020"/>
        <w:tblCaption w:val="Comparison with recent methods (mean ARI over 12 datasets). DPC-AKNN and PRCut, like the deep baselines, are given the true cluster count; our gate and EMR-CGC infer it. PRCut is run on the same UMAP representation (common-representation comparison); DPC-AKNN uses its native raw-feature geodesic pipeline (stratified cap 2000, its O(n^3) cost). Our label-free method is on par with PRCut and N2D and well above DPC-AKNN, without being told C."/>
        <w:tblLayout w:type="fixed"/>
      </w:tblPr>
      <w:tblGrid>
        <w:gridCol w:w="1149"/>
        <w:gridCol w:w="1149"/>
        <w:gridCol w:w="1149"/>
        <w:gridCol w:w="1149"/>
      </w:tblGrid>
      <w:tr>
        <w:trPr>
          <w:tblHeader w:val="on"/>
        </w:trPr>
        <w:tc>
          <w:tcPr>
            <w:tcW w:type="dxa" w:w="1149"/>
          </w:tcPr>
          <w:p>
            <w:pPr>
              <w:pStyle w:val="Compact"/>
              <w:jc w:val="left"/>
            </w:pPr>
            <w:r>
              <w:t xml:space="preserve">Method</w:t>
            </w:r>
          </w:p>
        </w:tc>
        <w:tc>
          <w:tcPr>
            <w:tcW w:type="dxa" w:w="1149"/>
          </w:tcPr>
          <w:p>
            <w:pPr>
              <w:pStyle w:val="Compact"/>
              <w:jc w:val="left"/>
            </w:pPr>
            <w:r>
              <w:t xml:space="preserve">Representation</w:t>
            </w:r>
          </w:p>
        </w:tc>
        <w:tc>
          <w:tcPr>
            <w:tcW w:type="dxa" w:w="1149"/>
          </w:tcPr>
          <w:p>
            <w:pPr>
              <w:pStyle w:val="Compact"/>
              <w:jc w:val="center"/>
            </w:pPr>
            <w:r>
              <w:t xml:space="preserve">Given</w:t>
            </w:r>
            <w:r>
              <w:t xml:space="preserve"> </w:t>
            </w:r>
            <m:oMath>
              <m:r>
                <m:t>C</m:t>
              </m:r>
            </m:oMath>
            <w:r>
              <w:t xml:space="preserve">?</w:t>
            </w:r>
          </w:p>
        </w:tc>
        <w:tc>
          <w:tcPr>
            <w:tcW w:type="dxa" w:w="1149"/>
          </w:tcPr>
          <w:p>
            <w:pPr>
              <w:pStyle w:val="Compact"/>
              <w:jc w:val="center"/>
            </w:pPr>
            <w:r>
              <w:t xml:space="preserve">Mean ARI</w:t>
            </w:r>
          </w:p>
        </w:tc>
      </w:tr>
      <w:tr>
        <w:tc>
          <w:tcPr>
            <w:tcW w:type="dxa" w:w="1149"/>
          </w:tcPr>
          <w:p>
            <w:pPr>
              <w:pStyle w:val="Compact"/>
              <w:jc w:val="left"/>
            </w:pPr>
            <w:r>
              <w:rPr>
                <w:b/>
                <w:bCs/>
              </w:rPr>
              <w:t xml:space="preserve">DEAC gate (ours)</w:t>
            </w:r>
          </w:p>
        </w:tc>
        <w:tc>
          <w:tcPr>
            <w:tcW w:type="dxa" w:w="1149"/>
          </w:tcPr>
          <w:p>
            <w:pPr>
              <w:pStyle w:val="Compact"/>
              <w:jc w:val="left"/>
            </w:pPr>
            <w:r>
              <w:t xml:space="preserve">UMAP+SNN ensemble</w:t>
            </w:r>
          </w:p>
        </w:tc>
        <w:tc>
          <w:tcPr>
            <w:tcW w:type="dxa" w:w="1149"/>
          </w:tcPr>
          <w:p>
            <w:pPr>
              <w:pStyle w:val="Compact"/>
              <w:jc w:val="center"/>
            </w:pPr>
            <w:r>
              <w:t xml:space="preserve">no (infers</w:t>
            </w:r>
            <w:r>
              <w:t xml:space="preserve"> </w:t>
            </w:r>
            <m:oMath>
              <m:r>
                <m:t>C</m:t>
              </m:r>
            </m:oMath>
            <w:r>
              <w:t xml:space="preserve">)</w:t>
            </w:r>
          </w:p>
        </w:tc>
        <w:tc>
          <w:tcPr>
            <w:tcW w:type="dxa" w:w="1149"/>
          </w:tcPr>
          <w:p>
            <w:pPr>
              <w:pStyle w:val="Compact"/>
              <w:jc w:val="center"/>
            </w:pPr>
            <w:r>
              <w:rPr>
                <w:b/>
                <w:bCs/>
              </w:rPr>
              <w:t xml:space="preserve">0.623</w:t>
            </w:r>
          </w:p>
        </w:tc>
      </w:tr>
      <w:tr>
        <w:tc>
          <w:tcPr>
            <w:tcW w:type="dxa" w:w="1149"/>
          </w:tcPr>
          <w:p>
            <w:pPr>
              <w:pStyle w:val="Compact"/>
              <w:jc w:val="left"/>
            </w:pPr>
            <w:r>
              <w:t xml:space="preserve">EMR-CGC (ours)</w:t>
            </w:r>
          </w:p>
        </w:tc>
        <w:tc>
          <w:tcPr>
            <w:tcW w:type="dxa" w:w="1149"/>
          </w:tcPr>
          <w:p>
            <w:pPr>
              <w:pStyle w:val="Compact"/>
              <w:jc w:val="left"/>
            </w:pPr>
            <w:r>
              <w:t xml:space="preserve">UMAP+SNN ensemble</w:t>
            </w:r>
          </w:p>
        </w:tc>
        <w:tc>
          <w:tcPr>
            <w:tcW w:type="dxa" w:w="1149"/>
          </w:tcPr>
          <w:p>
            <w:pPr>
              <w:pStyle w:val="Compact"/>
              <w:jc w:val="center"/>
            </w:pPr>
            <w:r>
              <w:t xml:space="preserve">no (infers</w:t>
            </w:r>
            <w:r>
              <w:t xml:space="preserve"> </w:t>
            </w:r>
            <m:oMath>
              <m:r>
                <m:t>C</m:t>
              </m:r>
            </m:oMath>
            <w:r>
              <w:t xml:space="preserve">)</w:t>
            </w:r>
          </w:p>
        </w:tc>
        <w:tc>
          <w:tcPr>
            <w:tcW w:type="dxa" w:w="1149"/>
          </w:tcPr>
          <w:p>
            <w:pPr>
              <w:pStyle w:val="Compact"/>
              <w:jc w:val="center"/>
            </w:pPr>
            <w:r>
              <w:t xml:space="preserve">0.631</w:t>
            </w:r>
          </w:p>
        </w:tc>
      </w:tr>
      <w:tr>
        <w:tc>
          <w:tcPr>
            <w:tcW w:type="dxa" w:w="1149"/>
          </w:tcPr>
          <w:p>
            <w:pPr>
              <w:pStyle w:val="Compact"/>
              <w:jc w:val="left"/>
            </w:pPr>
            <w:r>
              <w:t xml:space="preserve">PRCut (2025) [34]</w:t>
            </w:r>
          </w:p>
        </w:tc>
        <w:tc>
          <w:tcPr>
            <w:tcW w:type="dxa" w:w="1149"/>
          </w:tcPr>
          <w:p>
            <w:pPr>
              <w:pStyle w:val="Compact"/>
              <w:jc w:val="left"/>
            </w:pPr>
            <w:r>
              <w:t xml:space="preserve">common UMAP</w:t>
            </w:r>
          </w:p>
        </w:tc>
        <w:tc>
          <w:tcPr>
            <w:tcW w:type="dxa" w:w="1149"/>
          </w:tcPr>
          <w:p>
            <w:pPr>
              <w:pStyle w:val="Compact"/>
              <w:jc w:val="center"/>
            </w:pPr>
            <w:r>
              <w:t xml:space="preserve">yes</w:t>
            </w:r>
          </w:p>
        </w:tc>
        <w:tc>
          <w:tcPr>
            <w:tcW w:type="dxa" w:w="1149"/>
          </w:tcPr>
          <w:p>
            <w:pPr>
              <w:pStyle w:val="Compact"/>
              <w:jc w:val="center"/>
            </w:pPr>
            <w:r>
              <w:t xml:space="preserve">0.631</w:t>
            </w:r>
          </w:p>
        </w:tc>
      </w:tr>
      <w:tr>
        <w:tc>
          <w:tcPr>
            <w:tcW w:type="dxa" w:w="1149"/>
          </w:tcPr>
          <w:p>
            <w:pPr>
              <w:pStyle w:val="Compact"/>
              <w:jc w:val="left"/>
            </w:pPr>
            <w:r>
              <w:t xml:space="preserve">DPC-AKNN (2026) [17]</w:t>
            </w:r>
          </w:p>
        </w:tc>
        <w:tc>
          <w:tcPr>
            <w:tcW w:type="dxa" w:w="1149"/>
          </w:tcPr>
          <w:p>
            <w:pPr>
              <w:pStyle w:val="Compact"/>
              <w:jc w:val="left"/>
            </w:pPr>
            <w:r>
              <w:t xml:space="preserve">native (raw+geodesic)</w:t>
            </w:r>
          </w:p>
        </w:tc>
        <w:tc>
          <w:tcPr>
            <w:tcW w:type="dxa" w:w="1149"/>
          </w:tcPr>
          <w:p>
            <w:pPr>
              <w:pStyle w:val="Compact"/>
              <w:jc w:val="center"/>
            </w:pPr>
            <w:r>
              <w:t xml:space="preserve">yes</w:t>
            </w:r>
          </w:p>
        </w:tc>
        <w:tc>
          <w:tcPr>
            <w:tcW w:type="dxa" w:w="1149"/>
          </w:tcPr>
          <w:p>
            <w:pPr>
              <w:pStyle w:val="Compact"/>
              <w:jc w:val="center"/>
            </w:pPr>
            <w:r>
              <w:t xml:space="preserve">0.420</w:t>
            </w:r>
          </w:p>
        </w:tc>
      </w:tr>
      <w:tr>
        <w:tc>
          <w:tcPr>
            <w:tcW w:type="dxa" w:w="1149"/>
          </w:tcPr>
          <w:p>
            <w:pPr>
              <w:pStyle w:val="Compact"/>
              <w:jc w:val="left"/>
            </w:pPr>
            <w:r>
              <w:t xml:space="preserve">N2D (deep) [28]</w:t>
            </w:r>
          </w:p>
        </w:tc>
        <w:tc>
          <w:tcPr>
            <w:tcW w:type="dxa" w:w="1149"/>
          </w:tcPr>
          <w:p>
            <w:pPr>
              <w:pStyle w:val="Compact"/>
              <w:jc w:val="left"/>
            </w:pPr>
            <w:r>
              <w:t xml:space="preserve">autoencoder+UMAP</w:t>
            </w:r>
          </w:p>
        </w:tc>
        <w:tc>
          <w:tcPr>
            <w:tcW w:type="dxa" w:w="1149"/>
          </w:tcPr>
          <w:p>
            <w:pPr>
              <w:pStyle w:val="Compact"/>
              <w:jc w:val="center"/>
            </w:pPr>
            <w:r>
              <w:t xml:space="preserve">yes</w:t>
            </w:r>
          </w:p>
        </w:tc>
        <w:tc>
          <w:tcPr>
            <w:tcW w:type="dxa" w:w="1149"/>
          </w:tcPr>
          <w:p>
            <w:pPr>
              <w:pStyle w:val="Compact"/>
              <w:jc w:val="center"/>
            </w:pPr>
            <w:r>
              <w:t xml:space="preserve">0.642</w:t>
            </w:r>
          </w:p>
        </w:tc>
      </w:tr>
      <w:tr>
        <w:tc>
          <w:tcPr>
            <w:tcW w:type="dxa" w:w="1149"/>
          </w:tcPr>
          <w:p>
            <w:pPr>
              <w:pStyle w:val="Compact"/>
              <w:jc w:val="left"/>
            </w:pPr>
            <w:r>
              <w:rPr>
                <w:i/>
                <w:iCs/>
              </w:rPr>
              <w:t xml:space="preserve">Oracle (upper bound)</w:t>
            </w:r>
          </w:p>
        </w:tc>
        <w:tc>
          <w:tcPr>
            <w:tcW w:type="dxa" w:w="1149"/>
          </w:tcPr>
          <w:p>
            <w:pPr>
              <w:pStyle w:val="Compact"/>
              <w:jc w:val="left"/>
            </w:pPr>
            <w:r>
              <w:t xml:space="preserve">—</w:t>
            </w:r>
          </w:p>
        </w:tc>
        <w:tc>
          <w:tcPr>
            <w:tcW w:type="dxa" w:w="1149"/>
          </w:tcPr>
          <w:p>
            <w:pPr>
              <w:pStyle w:val="Compact"/>
              <w:jc w:val="center"/>
            </w:pPr>
            <w:r>
              <w:t xml:space="preserve">uses labels</w:t>
            </w:r>
          </w:p>
        </w:tc>
        <w:tc>
          <w:tcPr>
            <w:tcW w:type="dxa" w:w="1149"/>
          </w:tcPr>
          <w:p>
            <w:pPr>
              <w:pStyle w:val="Compact"/>
              <w:jc w:val="center"/>
            </w:pPr>
            <w:r>
              <w:rPr>
                <w:i/>
                <w:iCs/>
              </w:rPr>
              <w:t xml:space="preserve">0.646</w:t>
            </w:r>
          </w:p>
        </w:tc>
      </w:tr>
    </w:tbl>
    <w:bookmarkEnd w:id="73"/>
    <w:bookmarkEnd w:id="74"/>
    <w:bookmarkStart w:id="87" w:name="multi-metric-comparison"/>
    <w:p>
      <w:pPr>
        <w:pStyle w:val="Heading2"/>
        <w:jc w:val="left"/>
      </w:pPr>
      <w:r>
        <w:rPr>
          <w:rFonts w:ascii="Times New Roman" w:hAnsi="Times New Roman" w:cs="Times New Roman"/>
          <w:b/>
          <w:color w:val="C00000"/>
          <w:sz w:val="22"/>
        </w:rPr>
        <w:t>Multi-Metric Comparison</w:t>
      </w:r>
    </w:p>
    <w:p>
      <w:pPr>
        <w:pStyle w:val="FirstParagraph"/>
        <w:spacing w:before="0" w:after="0" w:line="240" w:lineRule="auto"/>
        <w:ind w:firstLine="330"/>
        <w:jc w:val="both"/>
      </w:pPr>
      <w:r>
        <w:rPr>
          <w:color w:val="C00000"/>
        </w:rPr>
        <w:t xml:space="preserve">Table </w:t>
      </w:r>
      <w:hyperlink w:anchor="tab:multi_metric">
        <w:r>
          <w:rPr>
            <w:rStyle w:val="Hyperlink"/>
          </w:rPr>
          <w:t xml:space="preserve">9</w:t>
        </w:r>
      </w:hyperlink>
      <w:r>
        <w:rPr>
          <w:color w:val="C00000"/>
        </w:rPr>
        <w:t xml:space="preserve"> </w:t>
      </w:r>
      <w:r>
        <w:rPr>
          <w:color w:val="C00000"/>
        </w:rPr>
        <w:t xml:space="preserve">shows the ARI picture holds across NMI and ACC: the deployable gate is competitive with the strong classical baselines on all three external indices without dominating them. The per-dataset NMI breakdown appears in Table </w:t>
      </w:r>
      <w:hyperlink w:anchor="tab:nmi_per_dataset">
        <w:r>
          <w:rPr>
            <w:rStyle w:val="Hyperlink"/>
          </w:rPr>
          <w:t xml:space="preserve">10</w:t>
        </w:r>
      </w:hyperlink>
      <w:r>
        <w:rPr>
          <w:color w:val="C00000"/>
        </w:rPr>
        <w:t xml:space="preserve"> </w:t>
      </w:r>
      <w:r>
        <w:rPr>
          <w:color w:val="C00000"/>
        </w:rPr>
        <w:t xml:space="preserve">and the per-dataset ACC breakdown in Table </w:t>
      </w:r>
      <w:hyperlink w:anchor="tab:acc_per_dataset">
        <w:r>
          <w:rPr>
            <w:rStyle w:val="Hyperlink"/>
          </w:rPr>
          <w:t xml:space="preserve">11</w:t>
        </w:r>
      </w:hyperlink>
      <w:r>
        <w:rPr>
          <w:color w:val="C00000"/>
        </w:rPr>
        <w:t xml:space="preserve">, and the same values are plotted dataset-by-dataset in Fig. </w:t>
      </w:r>
      <w:hyperlink w:anchor="fig:metric_bars_4way">
        <w:r>
          <w:rPr>
            <w:rStyle w:val="Hyperlink"/>
          </w:rPr>
          <w:t xml:space="preserve">7</w:t>
        </w:r>
      </w:hyperlink>
      <w:r>
        <w:rPr>
          <w:color w:val="C00000"/>
        </w:rPr>
        <w:t xml:space="preserve">; Fig. </w:t>
      </w:r>
      <w:hyperlink w:anchor="fig:radar_4way">
        <w:r>
          <w:rPr>
            <w:rStyle w:val="Hyperlink"/>
          </w:rPr>
          <w:t xml:space="preserve">8</w:t>
        </w:r>
      </w:hyperlink>
      <w:r>
        <w:rPr>
          <w:color w:val="C00000"/>
        </w:rPr>
        <w:t xml:space="preserve"> </w:t>
      </w:r>
      <w:r>
        <w:rPr>
          <w:color w:val="C00000"/>
        </w:rPr>
        <w:t xml:space="preserve">collapses the indices onto one radar plot.</w:t>
      </w:r>
    </w:p>
    <w:bookmarkStart w:id="75" w:name="tab:multi_metric"/>
    <w:p>
      <w:pPr>
        <w:pStyle w:val="TableCaption"/>
        <w:jc w:val="center"/>
      </w:pPr>
      <w:r>
        <w:rPr>
          <w:rFonts w:ascii="Times New Roman" w:hAnsi="Times New Roman" w:cs="Times New Roman"/>
          <w:color w:val="000000"/>
          <w:sz w:val="20"/>
        </w:rPr>
        <w:t xml:space="preserve">Table 9. </w:t>
      </w:r>
      <w:r>
        <w:rPr>
          <w:rFonts w:ascii="Times New Roman" w:hAnsi="Times New Roman" w:cs="Times New Roman"/>
          <w:color w:val="000000"/>
          <w:sz w:val="20"/>
        </w:rPr>
        <w:t xml:space="preserve">Mean ARI/NMI/ACC across 12 datasets (5 seeds). DEAC is the deployable gate; the oracle row is a diagnostic upper bound.</w:t>
      </w:r>
    </w:p>
    <w:tbl>
      <w:tblPr>
        <w:tblStyle w:val="Table"/>
        <w:tblW w:type="dxa" w:w="4596"/>
        <w:tblLook w:firstRow="1" w:lastRow="0" w:firstColumn="0" w:lastColumn="0" w:noHBand="0" w:noVBand="0" w:val="0020"/>
        <w:tblCaption w:val="Mean ARI/NMI/ACC across 12 datasets (5 seeds). DEAC is the deployable gate; the oracle row is a diagnostic upper bound."/>
        <w:tblLayout w:type="fixed"/>
      </w:tblPr>
      <w:tblGrid>
        <w:gridCol w:w="1149"/>
        <w:gridCol w:w="1149"/>
        <w:gridCol w:w="1149"/>
        <w:gridCol w:w="1149"/>
      </w:tblGrid>
      <w:tr>
        <w:trPr>
          <w:tblHeader w:val="on"/>
        </w:trPr>
        <w:tc>
          <w:tcPr>
            <w:tcW w:type="dxa" w:w="1149"/>
          </w:tcPr>
          <w:p>
            <w:pPr>
              <w:pStyle w:val="Compact"/>
              <w:jc w:val="left"/>
            </w:pPr>
            <w:r>
              <w:t xml:space="preserve">Method</w:t>
            </w:r>
          </w:p>
        </w:tc>
        <w:tc>
          <w:tcPr>
            <w:tcW w:type="dxa" w:w="1149"/>
          </w:tcPr>
          <w:p>
            <w:pPr>
              <w:pStyle w:val="Compact"/>
              <w:jc w:val="center"/>
            </w:pPr>
            <w:r>
              <w:t xml:space="preserve">Mean ARI</w:t>
            </w:r>
          </w:p>
        </w:tc>
        <w:tc>
          <w:tcPr>
            <w:tcW w:type="dxa" w:w="1149"/>
          </w:tcPr>
          <w:p>
            <w:pPr>
              <w:pStyle w:val="Compact"/>
              <w:jc w:val="center"/>
            </w:pPr>
            <w:r>
              <w:t xml:space="preserve">Mean NMI</w:t>
            </w:r>
          </w:p>
        </w:tc>
        <w:tc>
          <w:tcPr>
            <w:tcW w:type="dxa" w:w="1149"/>
          </w:tcPr>
          <w:p>
            <w:pPr>
              <w:pStyle w:val="Compact"/>
              <w:jc w:val="center"/>
            </w:pPr>
            <w:r>
              <w:t xml:space="preserve">Mean ACC</w:t>
            </w:r>
          </w:p>
        </w:tc>
      </w:tr>
      <w:tr>
        <w:tc>
          <w:tcPr>
            <w:tcW w:type="dxa" w:w="1149"/>
          </w:tcPr>
          <w:p>
            <w:pPr>
              <w:pStyle w:val="Compact"/>
              <w:jc w:val="left"/>
            </w:pPr>
            <w:r>
              <w:t xml:space="preserve">Baseline (UMAP)</w:t>
            </w:r>
          </w:p>
        </w:tc>
        <w:tc>
          <w:tcPr>
            <w:tcW w:type="dxa" w:w="1149"/>
          </w:tcPr>
          <w:p>
            <w:pPr>
              <w:pStyle w:val="Compact"/>
              <w:jc w:val="center"/>
            </w:pPr>
            <w:r>
              <w:t xml:space="preserve">0.580</w:t>
            </w:r>
          </w:p>
        </w:tc>
        <w:tc>
          <w:tcPr>
            <w:tcW w:type="dxa" w:w="1149"/>
          </w:tcPr>
          <w:p>
            <w:pPr>
              <w:pStyle w:val="Compact"/>
              <w:jc w:val="center"/>
            </w:pPr>
            <w:r>
              <w:t xml:space="preserve">0.720</w:t>
            </w:r>
          </w:p>
        </w:tc>
        <w:tc>
          <w:tcPr>
            <w:tcW w:type="dxa" w:w="1149"/>
          </w:tcPr>
          <w:p>
            <w:pPr>
              <w:pStyle w:val="Compact"/>
              <w:jc w:val="center"/>
            </w:pPr>
            <w:r>
              <w:t xml:space="preserve">0.675</w:t>
            </w:r>
          </w:p>
        </w:tc>
      </w:tr>
      <w:tr>
        <w:tc>
          <w:tcPr>
            <w:tcW w:type="dxa" w:w="1149"/>
          </w:tcPr>
          <w:p>
            <w:pPr>
              <w:pStyle w:val="Compact"/>
              <w:jc w:val="left"/>
            </w:pPr>
            <w:r>
              <w:t xml:space="preserve">AMR-DE</w:t>
            </w:r>
          </w:p>
        </w:tc>
        <w:tc>
          <w:tcPr>
            <w:tcW w:type="dxa" w:w="1149"/>
          </w:tcPr>
          <w:p>
            <w:pPr>
              <w:pStyle w:val="Compact"/>
              <w:jc w:val="center"/>
            </w:pPr>
            <w:r>
              <w:t xml:space="preserve">0.563</w:t>
            </w:r>
          </w:p>
        </w:tc>
        <w:tc>
          <w:tcPr>
            <w:tcW w:type="dxa" w:w="1149"/>
          </w:tcPr>
          <w:p>
            <w:pPr>
              <w:pStyle w:val="Compact"/>
              <w:jc w:val="center"/>
            </w:pPr>
            <w:r>
              <w:t xml:space="preserve">0.727</w:t>
            </w:r>
          </w:p>
        </w:tc>
        <w:tc>
          <w:tcPr>
            <w:tcW w:type="dxa" w:w="1149"/>
          </w:tcPr>
          <w:p>
            <w:pPr>
              <w:pStyle w:val="Compact"/>
              <w:jc w:val="center"/>
            </w:pPr>
            <w:r>
              <w:t xml:space="preserve">0.623</w:t>
            </w:r>
          </w:p>
        </w:tc>
      </w:tr>
      <w:tr>
        <w:tc>
          <w:tcPr>
            <w:tcW w:type="dxa" w:w="1149"/>
          </w:tcPr>
          <w:p>
            <w:pPr>
              <w:pStyle w:val="Compact"/>
              <w:jc w:val="left"/>
            </w:pPr>
            <w:r>
              <w:t xml:space="preserve">EMR-CGC</w:t>
            </w:r>
          </w:p>
        </w:tc>
        <w:tc>
          <w:tcPr>
            <w:tcW w:type="dxa" w:w="1149"/>
          </w:tcPr>
          <w:p>
            <w:pPr>
              <w:pStyle w:val="Compact"/>
              <w:jc w:val="center"/>
            </w:pPr>
            <w:r>
              <w:t xml:space="preserve">0.631</w:t>
            </w:r>
          </w:p>
        </w:tc>
        <w:tc>
          <w:tcPr>
            <w:tcW w:type="dxa" w:w="1149"/>
          </w:tcPr>
          <w:p>
            <w:pPr>
              <w:pStyle w:val="Compact"/>
              <w:jc w:val="center"/>
            </w:pPr>
            <w:r>
              <w:t xml:space="preserve">0.760</w:t>
            </w:r>
          </w:p>
        </w:tc>
        <w:tc>
          <w:tcPr>
            <w:tcW w:type="dxa" w:w="1149"/>
          </w:tcPr>
          <w:p>
            <w:pPr>
              <w:pStyle w:val="Compact"/>
              <w:jc w:val="center"/>
            </w:pPr>
            <w:r>
              <w:t xml:space="preserve">0.708</w:t>
            </w:r>
          </w:p>
        </w:tc>
      </w:tr>
      <w:tr>
        <w:tc>
          <w:tcPr>
            <w:tcW w:type="dxa" w:w="1149"/>
          </w:tcPr>
          <w:p>
            <w:pPr>
              <w:pStyle w:val="Compact"/>
              <w:jc w:val="left"/>
            </w:pPr>
            <w:r>
              <w:rPr>
                <w:b/>
                <w:bCs/>
              </w:rPr>
              <w:t xml:space="preserve">DEAC (gate)</w:t>
            </w:r>
          </w:p>
        </w:tc>
        <w:tc>
          <w:tcPr>
            <w:tcW w:type="dxa" w:w="1149"/>
          </w:tcPr>
          <w:p>
            <w:pPr>
              <w:pStyle w:val="Compact"/>
              <w:jc w:val="center"/>
            </w:pPr>
            <w:r>
              <w:rPr>
                <w:b/>
                <w:bCs/>
              </w:rPr>
              <w:t xml:space="preserve">0.623</w:t>
            </w:r>
          </w:p>
        </w:tc>
        <w:tc>
          <w:tcPr>
            <w:tcW w:type="dxa" w:w="1149"/>
          </w:tcPr>
          <w:p>
            <w:pPr>
              <w:pStyle w:val="Compact"/>
              <w:jc w:val="center"/>
            </w:pPr>
            <w:r>
              <w:rPr>
                <w:b/>
                <w:bCs/>
              </w:rPr>
              <w:t xml:space="preserve">0.753</w:t>
            </w:r>
          </w:p>
        </w:tc>
        <w:tc>
          <w:tcPr>
            <w:tcW w:type="dxa" w:w="1149"/>
          </w:tcPr>
          <w:p>
            <w:pPr>
              <w:pStyle w:val="Compact"/>
              <w:jc w:val="center"/>
            </w:pPr>
            <w:r>
              <w:rPr>
                <w:b/>
                <w:bCs/>
              </w:rPr>
              <w:t xml:space="preserve">0.699</w:t>
            </w:r>
          </w:p>
        </w:tc>
      </w:tr>
      <w:tr>
        <w:tc>
          <w:tcPr>
            <w:tcW w:type="dxa" w:w="1149"/>
          </w:tcPr>
          <w:p>
            <w:pPr>
              <w:pStyle w:val="Compact"/>
              <w:jc w:val="left"/>
            </w:pPr>
            <w:r>
              <w:rPr>
                <w:i/>
                <w:iCs/>
              </w:rPr>
              <w:t xml:space="preserve">Oracle (upper bnd)</w:t>
            </w:r>
          </w:p>
        </w:tc>
        <w:tc>
          <w:tcPr>
            <w:tcW w:type="dxa" w:w="1149"/>
          </w:tcPr>
          <w:p>
            <w:pPr>
              <w:pStyle w:val="Compact"/>
              <w:jc w:val="center"/>
            </w:pPr>
            <w:r>
              <w:t xml:space="preserve">0.646</w:t>
            </w:r>
          </w:p>
        </w:tc>
        <w:tc>
          <w:tcPr>
            <w:tcW w:type="dxa" w:w="1149"/>
          </w:tcPr>
          <w:p>
            <w:pPr>
              <w:pStyle w:val="Compact"/>
              <w:jc w:val="center"/>
            </w:pPr>
            <w:r>
              <w:t xml:space="preserve">0.762</w:t>
            </w:r>
          </w:p>
        </w:tc>
        <w:tc>
          <w:tcPr>
            <w:tcW w:type="dxa" w:w="1149"/>
          </w:tcPr>
          <w:p>
            <w:pPr>
              <w:pStyle w:val="Compact"/>
              <w:jc w:val="center"/>
            </w:pPr>
            <w:r>
              <w:t xml:space="preserve">0.720</w:t>
            </w:r>
          </w:p>
        </w:tc>
      </w:tr>
      <w:tr>
        <w:tc>
          <w:tcPr>
            <w:tcW w:type="dxa" w:w="1149"/>
          </w:tcPr>
          <w:p>
            <w:pPr>
              <w:pStyle w:val="Compact"/>
              <w:jc w:val="left"/>
            </w:pPr>
            <w:r>
              <w:t xml:space="preserve">KMeans</w:t>
            </w:r>
          </w:p>
        </w:tc>
        <w:tc>
          <w:tcPr>
            <w:tcW w:type="dxa" w:w="1149"/>
          </w:tcPr>
          <w:p>
            <w:pPr>
              <w:pStyle w:val="Compact"/>
              <w:jc w:val="center"/>
            </w:pPr>
            <w:r>
              <w:t xml:space="preserve">0.539</w:t>
            </w:r>
          </w:p>
        </w:tc>
        <w:tc>
          <w:tcPr>
            <w:tcW w:type="dxa" w:w="1149"/>
          </w:tcPr>
          <w:p>
            <w:pPr>
              <w:pStyle w:val="Compact"/>
              <w:jc w:val="center"/>
            </w:pPr>
            <w:r>
              <w:t xml:space="preserve">0.691</w:t>
            </w:r>
          </w:p>
        </w:tc>
        <w:tc>
          <w:tcPr>
            <w:tcW w:type="dxa" w:w="1149"/>
          </w:tcPr>
          <w:p>
            <w:pPr>
              <w:pStyle w:val="Compact"/>
              <w:jc w:val="center"/>
            </w:pPr>
            <w:r>
              <w:t xml:space="preserve">0.633</w:t>
            </w:r>
          </w:p>
        </w:tc>
      </w:tr>
      <w:tr>
        <w:tc>
          <w:tcPr>
            <w:tcW w:type="dxa" w:w="1149"/>
          </w:tcPr>
          <w:p>
            <w:pPr>
              <w:pStyle w:val="Compact"/>
              <w:jc w:val="left"/>
            </w:pPr>
            <w:r>
              <w:t xml:space="preserve">Spectral</w:t>
            </w:r>
          </w:p>
        </w:tc>
        <w:tc>
          <w:tcPr>
            <w:tcW w:type="dxa" w:w="1149"/>
          </w:tcPr>
          <w:p>
            <w:pPr>
              <w:pStyle w:val="Compact"/>
              <w:jc w:val="center"/>
            </w:pPr>
            <w:r>
              <w:t xml:space="preserve">0.303</w:t>
            </w:r>
          </w:p>
        </w:tc>
        <w:tc>
          <w:tcPr>
            <w:tcW w:type="dxa" w:w="1149"/>
          </w:tcPr>
          <w:p>
            <w:pPr>
              <w:pStyle w:val="Compact"/>
              <w:jc w:val="center"/>
            </w:pPr>
            <w:r>
              <w:t xml:space="preserve">0.537</w:t>
            </w:r>
          </w:p>
        </w:tc>
        <w:tc>
          <w:tcPr>
            <w:tcW w:type="dxa" w:w="1149"/>
          </w:tcPr>
          <w:p>
            <w:pPr>
              <w:pStyle w:val="Compact"/>
              <w:jc w:val="center"/>
            </w:pPr>
            <w:r>
              <w:t xml:space="preserve">0.454</w:t>
            </w:r>
          </w:p>
        </w:tc>
      </w:tr>
      <w:tr>
        <w:tc>
          <w:tcPr>
            <w:tcW w:type="dxa" w:w="1149"/>
          </w:tcPr>
          <w:p>
            <w:pPr>
              <w:pStyle w:val="Compact"/>
              <w:jc w:val="left"/>
            </w:pPr>
            <w:r>
              <w:t xml:space="preserve">Agglomerative</w:t>
            </w:r>
          </w:p>
        </w:tc>
        <w:tc>
          <w:tcPr>
            <w:tcW w:type="dxa" w:w="1149"/>
          </w:tcPr>
          <w:p>
            <w:pPr>
              <w:pStyle w:val="Compact"/>
              <w:jc w:val="center"/>
            </w:pPr>
            <w:r>
              <w:t xml:space="preserve">0.537</w:t>
            </w:r>
          </w:p>
        </w:tc>
        <w:tc>
          <w:tcPr>
            <w:tcW w:type="dxa" w:w="1149"/>
          </w:tcPr>
          <w:p>
            <w:pPr>
              <w:pStyle w:val="Compact"/>
              <w:jc w:val="center"/>
            </w:pPr>
            <w:r>
              <w:t xml:space="preserve">0.692</w:t>
            </w:r>
          </w:p>
        </w:tc>
        <w:tc>
          <w:tcPr>
            <w:tcW w:type="dxa" w:w="1149"/>
          </w:tcPr>
          <w:p>
            <w:pPr>
              <w:pStyle w:val="Compact"/>
              <w:jc w:val="center"/>
            </w:pPr>
            <w:r>
              <w:t xml:space="preserve">0.635</w:t>
            </w:r>
          </w:p>
        </w:tc>
      </w:tr>
      <w:tr>
        <w:tc>
          <w:tcPr>
            <w:tcW w:type="dxa" w:w="1149"/>
          </w:tcPr>
          <w:p>
            <w:pPr>
              <w:pStyle w:val="Compact"/>
              <w:jc w:val="left"/>
            </w:pPr>
            <w:r>
              <w:t xml:space="preserve">GMM</w:t>
            </w:r>
          </w:p>
        </w:tc>
        <w:tc>
          <w:tcPr>
            <w:tcW w:type="dxa" w:w="1149"/>
          </w:tcPr>
          <w:p>
            <w:pPr>
              <w:pStyle w:val="Compact"/>
              <w:jc w:val="center"/>
            </w:pPr>
            <w:r>
              <w:t xml:space="preserve">0.546</w:t>
            </w:r>
          </w:p>
        </w:tc>
        <w:tc>
          <w:tcPr>
            <w:tcW w:type="dxa" w:w="1149"/>
          </w:tcPr>
          <w:p>
            <w:pPr>
              <w:pStyle w:val="Compact"/>
              <w:jc w:val="center"/>
            </w:pPr>
            <w:r>
              <w:t xml:space="preserve">0.691</w:t>
            </w:r>
          </w:p>
        </w:tc>
        <w:tc>
          <w:tcPr>
            <w:tcW w:type="dxa" w:w="1149"/>
          </w:tcPr>
          <w:p>
            <w:pPr>
              <w:pStyle w:val="Compact"/>
              <w:jc w:val="center"/>
            </w:pPr>
            <w:r>
              <w:t xml:space="preserve">0.636</w:t>
            </w:r>
          </w:p>
        </w:tc>
      </w:tr>
      <w:tr>
        <w:tc>
          <w:tcPr>
            <w:tcW w:type="dxa" w:w="1149"/>
          </w:tcPr>
          <w:p>
            <w:pPr>
              <w:pStyle w:val="Compact"/>
              <w:jc w:val="left"/>
            </w:pPr>
            <w:r>
              <w:t xml:space="preserve">HDBSCAN</w:t>
            </w:r>
          </w:p>
        </w:tc>
        <w:tc>
          <w:tcPr>
            <w:tcW w:type="dxa" w:w="1149"/>
          </w:tcPr>
          <w:p>
            <w:pPr>
              <w:pStyle w:val="Compact"/>
              <w:jc w:val="center"/>
            </w:pPr>
            <w:r>
              <w:t xml:space="preserve">0.515</w:t>
            </w:r>
          </w:p>
        </w:tc>
        <w:tc>
          <w:tcPr>
            <w:tcW w:type="dxa" w:w="1149"/>
          </w:tcPr>
          <w:p>
            <w:pPr>
              <w:pStyle w:val="Compact"/>
              <w:jc w:val="center"/>
            </w:pPr>
            <w:r>
              <w:t xml:space="preserve">0.696</w:t>
            </w:r>
          </w:p>
        </w:tc>
        <w:tc>
          <w:tcPr>
            <w:tcW w:type="dxa" w:w="1149"/>
          </w:tcPr>
          <w:p>
            <w:pPr>
              <w:pStyle w:val="Compact"/>
              <w:jc w:val="center"/>
            </w:pPr>
            <w:r>
              <w:t xml:space="preserve">0.613</w:t>
            </w:r>
          </w:p>
        </w:tc>
      </w:tr>
    </w:tbl>
    <w:bookmarkEnd w:id="75"/>
    <w:bookmarkStart w:id="76" w:name="tab:nmi_per_dataset"/>
    <w:p>
      <w:pPr>
        <w:pStyle w:val="TableCaption"/>
        <w:jc w:val="center"/>
      </w:pPr>
      <w:r>
        <w:rPr>
          <w:rFonts w:ascii="Times New Roman" w:hAnsi="Times New Roman" w:cs="Times New Roman"/>
          <w:color w:val="000000"/>
          <w:sz w:val="20"/>
        </w:rPr>
        <w:t xml:space="preserve">Table 10. </w:t>
      </w:r>
      <w:r>
        <w:rPr>
          <w:rFonts w:ascii="Times New Roman" w:hAnsi="Times New Roman" w:cs="Times New Roman"/>
          <w:color w:val="000000"/>
          <w:sz w:val="20"/>
        </w:rPr>
        <w:t xml:space="preserve">Per-dataset NMI (mean over 5 seeds). DEAC is the deployable gate.</w:t>
      </w:r>
    </w:p>
    <w:tbl>
      <w:tblPr>
        <w:tblStyle w:val="Table"/>
        <w:tblW w:type="dxa" w:w="4595"/>
        <w:tblLook w:firstRow="1" w:lastRow="0" w:firstColumn="0" w:lastColumn="0" w:noHBand="0" w:noVBand="0" w:val="0020"/>
        <w:tblCaption w:val="Per-dataset NMI (mean over 5 seeds). DEAC is the deployable gate."/>
        <w:tblLayout w:type="fixed"/>
      </w:tblPr>
      <w:tblGrid>
        <w:gridCol w:w="919"/>
        <w:gridCol w:w="919"/>
        <w:gridCol w:w="919"/>
        <w:gridCol w:w="919"/>
        <w:gridCol w:w="919"/>
      </w:tblGrid>
      <w:tr>
        <w:trPr>
          <w:tblHeader w:val="on"/>
        </w:trPr>
        <w:tc>
          <w:tcPr>
            <w:tcW w:type="dxa" w:w="919"/>
          </w:tcPr>
          <w:p>
            <w:pPr>
              <w:pStyle w:val="Compact"/>
              <w:jc w:val="left"/>
            </w:pPr>
            <w:r>
              <w:rPr>
                <w:sz w:val="18"/>
                <w:szCs w:val="18"/>
              </w:rPr>
              <w:t xml:space="preserve">Dataset</w:t>
            </w:r>
          </w:p>
        </w:tc>
        <w:tc>
          <w:tcPr>
            <w:tcW w:type="dxa" w:w="919"/>
          </w:tcPr>
          <w:p>
            <w:pPr>
              <w:pStyle w:val="Compact"/>
              <w:jc w:val="center"/>
            </w:pPr>
            <w:r>
              <w:rPr>
                <w:sz w:val="18"/>
                <w:szCs w:val="18"/>
              </w:rPr>
              <w:t xml:space="preserve">Baseline</w:t>
            </w:r>
          </w:p>
        </w:tc>
        <w:tc>
          <w:tcPr>
            <w:tcW w:type="dxa" w:w="919"/>
          </w:tcPr>
          <w:p>
            <w:pPr>
              <w:pStyle w:val="Compact"/>
              <w:jc w:val="center"/>
            </w:pPr>
            <w:r>
              <w:rPr>
                <w:sz w:val="18"/>
                <w:szCs w:val="18"/>
              </w:rPr>
              <w:t xml:space="preserve">AMR-DE</w:t>
            </w:r>
          </w:p>
        </w:tc>
        <w:tc>
          <w:tcPr>
            <w:tcW w:type="dxa" w:w="919"/>
          </w:tcPr>
          <w:p>
            <w:pPr>
              <w:pStyle w:val="Compact"/>
              <w:jc w:val="center"/>
            </w:pPr>
            <w:r>
              <w:rPr>
                <w:sz w:val="18"/>
                <w:szCs w:val="18"/>
              </w:rPr>
              <w:t xml:space="preserve">EMR-CGC</w:t>
            </w:r>
          </w:p>
        </w:tc>
        <w:tc>
          <w:tcPr>
            <w:tcW w:type="dxa" w:w="919"/>
          </w:tcPr>
          <w:p>
            <w:pPr>
              <w:pStyle w:val="Compact"/>
              <w:jc w:val="center"/>
            </w:pPr>
            <w:r>
              <w:rPr>
                <w:b/>
                <w:bCs/>
                <w:sz w:val="18"/>
                <w:szCs w:val="18"/>
              </w:rPr>
              <w:t xml:space="preserve">DEAC</w:t>
            </w:r>
          </w:p>
        </w:tc>
      </w:tr>
      <w:tr>
        <w:tc>
          <w:tcPr>
            <w:tcW w:type="dxa" w:w="919"/>
          </w:tcPr>
          <w:p>
            <w:pPr>
              <w:pStyle w:val="Compact"/>
              <w:jc w:val="left"/>
            </w:pPr>
            <w:r>
              <w:rPr>
                <w:sz w:val="18"/>
                <w:szCs w:val="18"/>
              </w:rPr>
              <w:t xml:space="preserve">Wine</w:t>
            </w:r>
          </w:p>
        </w:tc>
        <w:tc>
          <w:tcPr>
            <w:tcW w:type="dxa" w:w="919"/>
          </w:tcPr>
          <w:p>
            <w:pPr>
              <w:pStyle w:val="Compact"/>
              <w:jc w:val="center"/>
            </w:pPr>
            <m:oMath>
              <m:r>
                <m:rPr>
                  <m:sty m:val="b"/>
                </m:rPr>
                <m:t>0.795</m:t>
              </m:r>
            </m:oMath>
          </w:p>
        </w:tc>
        <w:tc>
          <w:tcPr>
            <w:tcW w:type="dxa" w:w="919"/>
          </w:tcPr>
          <w:p>
            <w:pPr>
              <w:pStyle w:val="Compact"/>
              <w:jc w:val="center"/>
            </w:pPr>
            <w:r>
              <w:rPr>
                <w:sz w:val="18"/>
                <w:szCs w:val="18"/>
              </w:rPr>
              <w:t xml:space="preserve">0.774</w:t>
            </w:r>
          </w:p>
        </w:tc>
        <w:tc>
          <w:tcPr>
            <w:tcW w:type="dxa" w:w="919"/>
          </w:tcPr>
          <w:p>
            <w:pPr>
              <w:pStyle w:val="Compact"/>
              <w:jc w:val="center"/>
            </w:pPr>
            <w:r>
              <w:rPr>
                <w:sz w:val="18"/>
                <w:szCs w:val="18"/>
              </w:rPr>
              <w:t xml:space="preserve">0.791</w:t>
            </w:r>
          </w:p>
        </w:tc>
        <w:tc>
          <w:tcPr>
            <w:tcW w:type="dxa" w:w="919"/>
          </w:tcPr>
          <w:p>
            <w:pPr>
              <w:pStyle w:val="Compact"/>
              <w:jc w:val="center"/>
            </w:pPr>
            <w:r>
              <w:rPr>
                <w:sz w:val="18"/>
                <w:szCs w:val="18"/>
              </w:rPr>
              <w:t xml:space="preserve">0.787</w:t>
            </w:r>
          </w:p>
        </w:tc>
      </w:tr>
      <w:tr>
        <w:tc>
          <w:tcPr>
            <w:tcW w:type="dxa" w:w="919"/>
          </w:tcPr>
          <w:p>
            <w:pPr>
              <w:pStyle w:val="Compact"/>
              <w:jc w:val="left"/>
            </w:pPr>
            <w:r>
              <w:rPr>
                <w:sz w:val="18"/>
                <w:szCs w:val="18"/>
              </w:rPr>
              <w:t xml:space="preserve">Glass</w:t>
            </w:r>
          </w:p>
        </w:tc>
        <w:tc>
          <w:tcPr>
            <w:tcW w:type="dxa" w:w="919"/>
          </w:tcPr>
          <w:p>
            <w:pPr>
              <w:pStyle w:val="Compact"/>
              <w:jc w:val="center"/>
            </w:pPr>
            <w:r>
              <w:rPr>
                <w:sz w:val="18"/>
                <w:szCs w:val="18"/>
              </w:rPr>
              <w:t xml:space="preserve">0.245</w:t>
            </w:r>
          </w:p>
        </w:tc>
        <w:tc>
          <w:tcPr>
            <w:tcW w:type="dxa" w:w="919"/>
          </w:tcPr>
          <w:p>
            <w:pPr>
              <w:pStyle w:val="Compact"/>
              <w:jc w:val="center"/>
            </w:pPr>
            <m:oMath>
              <m:r>
                <m:rPr>
                  <m:sty m:val="b"/>
                </m:rPr>
                <m:t>0.359</m:t>
              </m:r>
            </m:oMath>
          </w:p>
        </w:tc>
        <w:tc>
          <w:tcPr>
            <w:tcW w:type="dxa" w:w="919"/>
          </w:tcPr>
          <w:p>
            <w:pPr>
              <w:pStyle w:val="Compact"/>
              <w:jc w:val="center"/>
            </w:pPr>
            <w:r>
              <w:rPr>
                <w:sz w:val="18"/>
                <w:szCs w:val="18"/>
              </w:rPr>
              <w:t xml:space="preserve">0.352</w:t>
            </w:r>
          </w:p>
        </w:tc>
        <w:tc>
          <w:tcPr>
            <w:tcW w:type="dxa" w:w="919"/>
          </w:tcPr>
          <w:p>
            <w:pPr>
              <w:pStyle w:val="Compact"/>
              <w:jc w:val="center"/>
            </w:pPr>
            <w:r>
              <w:rPr>
                <w:sz w:val="18"/>
                <w:szCs w:val="18"/>
              </w:rPr>
              <w:t xml:space="preserve">0.355</w:t>
            </w:r>
          </w:p>
        </w:tc>
      </w:tr>
      <w:tr>
        <w:tc>
          <w:tcPr>
            <w:tcW w:type="dxa" w:w="919"/>
          </w:tcPr>
          <w:p>
            <w:pPr>
              <w:pStyle w:val="Compact"/>
              <w:jc w:val="left"/>
            </w:pPr>
            <w:r>
              <w:rPr>
                <w:sz w:val="18"/>
                <w:szCs w:val="18"/>
              </w:rPr>
              <w:t xml:space="preserve">Olivetti</w:t>
            </w:r>
          </w:p>
        </w:tc>
        <w:tc>
          <w:tcPr>
            <w:tcW w:type="dxa" w:w="919"/>
          </w:tcPr>
          <w:p>
            <w:pPr>
              <w:pStyle w:val="Compact"/>
              <w:jc w:val="center"/>
            </w:pPr>
            <w:r>
              <w:rPr>
                <w:sz w:val="18"/>
                <w:szCs w:val="18"/>
              </w:rPr>
              <w:t xml:space="preserve">0.421</w:t>
            </w:r>
          </w:p>
        </w:tc>
        <w:tc>
          <w:tcPr>
            <w:tcW w:type="dxa" w:w="919"/>
          </w:tcPr>
          <w:p>
            <w:pPr>
              <w:pStyle w:val="Compact"/>
              <w:jc w:val="center"/>
            </w:pPr>
            <w:r>
              <w:rPr>
                <w:sz w:val="18"/>
                <w:szCs w:val="18"/>
              </w:rPr>
              <w:t xml:space="preserve">0.648</w:t>
            </w:r>
          </w:p>
        </w:tc>
        <w:tc>
          <w:tcPr>
            <w:tcW w:type="dxa" w:w="919"/>
          </w:tcPr>
          <w:p>
            <w:pPr>
              <w:pStyle w:val="Compact"/>
              <w:jc w:val="center"/>
            </w:pPr>
            <m:oMath>
              <m:r>
                <m:rPr>
                  <m:sty m:val="b"/>
                </m:rPr>
                <m:t>0.727</m:t>
              </m:r>
            </m:oMath>
          </w:p>
        </w:tc>
        <w:tc>
          <w:tcPr>
            <w:tcW w:type="dxa" w:w="919"/>
          </w:tcPr>
          <w:p>
            <w:pPr>
              <w:pStyle w:val="Compact"/>
              <w:jc w:val="center"/>
            </w:pPr>
            <w:r>
              <w:rPr>
                <w:sz w:val="18"/>
                <w:szCs w:val="18"/>
              </w:rPr>
              <w:t xml:space="preserve">0.648</w:t>
            </w:r>
          </w:p>
        </w:tc>
      </w:tr>
      <w:tr>
        <w:tc>
          <w:tcPr>
            <w:tcW w:type="dxa" w:w="919"/>
          </w:tcPr>
          <w:p>
            <w:pPr>
              <w:pStyle w:val="Compact"/>
              <w:jc w:val="left"/>
            </w:pPr>
            <w:r>
              <w:rPr>
                <w:sz w:val="18"/>
                <w:szCs w:val="18"/>
              </w:rPr>
              <w:t xml:space="preserve">CNAE-9</w:t>
            </w:r>
          </w:p>
        </w:tc>
        <w:tc>
          <w:tcPr>
            <w:tcW w:type="dxa" w:w="919"/>
          </w:tcPr>
          <w:p>
            <w:pPr>
              <w:pStyle w:val="Compact"/>
              <w:jc w:val="center"/>
            </w:pPr>
            <w:r>
              <w:rPr>
                <w:sz w:val="18"/>
                <w:szCs w:val="18"/>
              </w:rPr>
              <w:t xml:space="preserve">0.716</w:t>
            </w:r>
          </w:p>
        </w:tc>
        <w:tc>
          <w:tcPr>
            <w:tcW w:type="dxa" w:w="919"/>
          </w:tcPr>
          <w:p>
            <w:pPr>
              <w:pStyle w:val="Compact"/>
              <w:jc w:val="center"/>
            </w:pPr>
            <w:r>
              <w:rPr>
                <w:sz w:val="18"/>
                <w:szCs w:val="18"/>
              </w:rPr>
              <w:t xml:space="preserve">0.698</w:t>
            </w:r>
          </w:p>
        </w:tc>
        <w:tc>
          <w:tcPr>
            <w:tcW w:type="dxa" w:w="919"/>
          </w:tcPr>
          <w:p>
            <w:pPr>
              <w:pStyle w:val="Compact"/>
              <w:jc w:val="center"/>
            </w:pPr>
            <w:r>
              <w:rPr>
                <w:sz w:val="18"/>
                <w:szCs w:val="18"/>
              </w:rPr>
              <w:t xml:space="preserve">0.718</w:t>
            </w:r>
          </w:p>
        </w:tc>
        <w:tc>
          <w:tcPr>
            <w:tcW w:type="dxa" w:w="919"/>
          </w:tcPr>
          <w:p>
            <w:pPr>
              <w:pStyle w:val="Compact"/>
              <w:jc w:val="center"/>
            </w:pPr>
            <m:oMath>
              <m:r>
                <m:rPr>
                  <m:sty m:val="b"/>
                </m:rPr>
                <m:t>0.722</m:t>
              </m:r>
            </m:oMath>
          </w:p>
        </w:tc>
      </w:tr>
      <w:tr>
        <w:tc>
          <w:tcPr>
            <w:tcW w:type="dxa" w:w="919"/>
          </w:tcPr>
          <w:p>
            <w:pPr>
              <w:pStyle w:val="Compact"/>
              <w:jc w:val="left"/>
            </w:pPr>
            <w:r>
              <w:rPr>
                <w:sz w:val="18"/>
                <w:szCs w:val="18"/>
              </w:rPr>
              <w:t xml:space="preserve">COIL-20</w:t>
            </w:r>
          </w:p>
        </w:tc>
        <w:tc>
          <w:tcPr>
            <w:tcW w:type="dxa" w:w="919"/>
          </w:tcPr>
          <w:p>
            <w:pPr>
              <w:pStyle w:val="Compact"/>
              <w:jc w:val="center"/>
            </w:pPr>
            <w:r>
              <w:rPr>
                <w:sz w:val="18"/>
                <w:szCs w:val="18"/>
              </w:rPr>
              <w:t xml:space="preserve">0.904</w:t>
            </w:r>
          </w:p>
        </w:tc>
        <w:tc>
          <w:tcPr>
            <w:tcW w:type="dxa" w:w="919"/>
          </w:tcPr>
          <w:p>
            <w:pPr>
              <w:pStyle w:val="Compact"/>
              <w:jc w:val="center"/>
            </w:pPr>
            <w:r>
              <w:rPr>
                <w:sz w:val="18"/>
                <w:szCs w:val="18"/>
              </w:rPr>
              <w:t xml:space="preserve">0.908</w:t>
            </w:r>
          </w:p>
        </w:tc>
        <w:tc>
          <w:tcPr>
            <w:tcW w:type="dxa" w:w="919"/>
          </w:tcPr>
          <w:p>
            <w:pPr>
              <w:pStyle w:val="Compact"/>
              <w:jc w:val="center"/>
            </w:pPr>
            <m:oMath>
              <m:r>
                <m:rPr>
                  <m:sty m:val="b"/>
                </m:rPr>
                <m:t>0.919</m:t>
              </m:r>
            </m:oMath>
          </w:p>
        </w:tc>
        <w:tc>
          <w:tcPr>
            <w:tcW w:type="dxa" w:w="919"/>
          </w:tcPr>
          <w:p>
            <w:pPr>
              <w:pStyle w:val="Compact"/>
              <w:jc w:val="center"/>
            </w:pPr>
            <m:oMath>
              <m:r>
                <m:rPr>
                  <m:sty m:val="b"/>
                </m:rPr>
                <m:t>0.919</m:t>
              </m:r>
            </m:oMath>
          </w:p>
        </w:tc>
      </w:tr>
      <w:tr>
        <w:tc>
          <w:tcPr>
            <w:tcW w:type="dxa" w:w="919"/>
          </w:tcPr>
          <w:p>
            <w:pPr>
              <w:pStyle w:val="Compact"/>
              <w:jc w:val="left"/>
            </w:pPr>
            <w:r>
              <w:rPr>
                <w:sz w:val="18"/>
                <w:szCs w:val="18"/>
              </w:rPr>
              <w:t xml:space="preserve">Optdigits</w:t>
            </w:r>
          </w:p>
        </w:tc>
        <w:tc>
          <w:tcPr>
            <w:tcW w:type="dxa" w:w="919"/>
          </w:tcPr>
          <w:p>
            <w:pPr>
              <w:pStyle w:val="Compact"/>
              <w:jc w:val="center"/>
            </w:pPr>
            <m:oMath>
              <m:r>
                <m:rPr>
                  <m:sty m:val="b"/>
                </m:rPr>
                <m:t>0.889</m:t>
              </m:r>
            </m:oMath>
          </w:p>
        </w:tc>
        <w:tc>
          <w:tcPr>
            <w:tcW w:type="dxa" w:w="919"/>
          </w:tcPr>
          <w:p>
            <w:pPr>
              <w:pStyle w:val="Compact"/>
              <w:jc w:val="center"/>
            </w:pPr>
            <w:r>
              <w:rPr>
                <w:sz w:val="18"/>
                <w:szCs w:val="18"/>
              </w:rPr>
              <w:t xml:space="preserve">0.883</w:t>
            </w:r>
          </w:p>
        </w:tc>
        <w:tc>
          <w:tcPr>
            <w:tcW w:type="dxa" w:w="919"/>
          </w:tcPr>
          <w:p>
            <w:pPr>
              <w:pStyle w:val="Compact"/>
              <w:jc w:val="center"/>
            </w:pPr>
            <w:r>
              <w:rPr>
                <w:sz w:val="18"/>
                <w:szCs w:val="18"/>
              </w:rPr>
              <w:t xml:space="preserve">0.885</w:t>
            </w:r>
          </w:p>
        </w:tc>
        <w:tc>
          <w:tcPr>
            <w:tcW w:type="dxa" w:w="919"/>
          </w:tcPr>
          <w:p>
            <w:pPr>
              <w:pStyle w:val="Compact"/>
              <w:jc w:val="center"/>
            </w:pPr>
            <w:r>
              <w:rPr>
                <w:sz w:val="18"/>
                <w:szCs w:val="18"/>
              </w:rPr>
              <w:t xml:space="preserve">0.885</w:t>
            </w:r>
          </w:p>
        </w:tc>
      </w:tr>
      <w:tr>
        <w:tc>
          <w:tcPr>
            <w:tcW w:type="dxa" w:w="919"/>
          </w:tcPr>
          <w:p>
            <w:pPr>
              <w:pStyle w:val="Compact"/>
              <w:jc w:val="left"/>
            </w:pPr>
            <w:r>
              <w:rPr>
                <w:sz w:val="18"/>
                <w:szCs w:val="18"/>
              </w:rPr>
              <w:t xml:space="preserve">MFeat</w:t>
            </w:r>
          </w:p>
        </w:tc>
        <w:tc>
          <w:tcPr>
            <w:tcW w:type="dxa" w:w="919"/>
          </w:tcPr>
          <w:p>
            <w:pPr>
              <w:pStyle w:val="Compact"/>
              <w:jc w:val="center"/>
            </w:pPr>
            <w:r>
              <w:rPr>
                <w:sz w:val="18"/>
                <w:szCs w:val="18"/>
              </w:rPr>
              <w:t xml:space="preserve">0.930</w:t>
            </w:r>
          </w:p>
        </w:tc>
        <w:tc>
          <w:tcPr>
            <w:tcW w:type="dxa" w:w="919"/>
          </w:tcPr>
          <w:p>
            <w:pPr>
              <w:pStyle w:val="Compact"/>
              <w:jc w:val="center"/>
            </w:pPr>
            <w:r>
              <w:rPr>
                <w:sz w:val="18"/>
                <w:szCs w:val="18"/>
              </w:rPr>
              <w:t xml:space="preserve">0.916</w:t>
            </w:r>
          </w:p>
        </w:tc>
        <w:tc>
          <w:tcPr>
            <w:tcW w:type="dxa" w:w="919"/>
          </w:tcPr>
          <w:p>
            <w:pPr>
              <w:pStyle w:val="Compact"/>
              <w:jc w:val="center"/>
            </w:pPr>
            <m:oMath>
              <m:r>
                <m:rPr>
                  <m:sty m:val="b"/>
                </m:rPr>
                <m:t>0.938</m:t>
              </m:r>
            </m:oMath>
          </w:p>
        </w:tc>
        <w:tc>
          <w:tcPr>
            <w:tcW w:type="dxa" w:w="919"/>
          </w:tcPr>
          <w:p>
            <w:pPr>
              <w:pStyle w:val="Compact"/>
              <w:jc w:val="center"/>
            </w:pPr>
            <m:oMath>
              <m:r>
                <m:rPr>
                  <m:sty m:val="b"/>
                </m:rPr>
                <m:t>0.938</m:t>
              </m:r>
            </m:oMath>
          </w:p>
        </w:tc>
      </w:tr>
      <w:tr>
        <w:tc>
          <w:tcPr>
            <w:tcW w:type="dxa" w:w="919"/>
          </w:tcPr>
          <w:p>
            <w:pPr>
              <w:pStyle w:val="Compact"/>
              <w:jc w:val="left"/>
            </w:pPr>
            <w:r>
              <w:rPr>
                <w:sz w:val="18"/>
                <w:szCs w:val="18"/>
              </w:rPr>
              <w:t xml:space="preserve">Segment.</w:t>
            </w:r>
          </w:p>
        </w:tc>
        <w:tc>
          <w:tcPr>
            <w:tcW w:type="dxa" w:w="919"/>
          </w:tcPr>
          <w:p>
            <w:pPr>
              <w:pStyle w:val="Compact"/>
              <w:jc w:val="center"/>
            </w:pPr>
            <m:oMath>
              <m:r>
                <m:rPr>
                  <m:sty m:val="b"/>
                </m:rPr>
                <m:t>0.628</m:t>
              </m:r>
            </m:oMath>
          </w:p>
        </w:tc>
        <w:tc>
          <w:tcPr>
            <w:tcW w:type="dxa" w:w="919"/>
          </w:tcPr>
          <w:p>
            <w:pPr>
              <w:pStyle w:val="Compact"/>
              <w:jc w:val="center"/>
            </w:pPr>
            <w:r>
              <w:rPr>
                <w:sz w:val="18"/>
                <w:szCs w:val="18"/>
              </w:rPr>
              <w:t xml:space="preserve">0.604</w:t>
            </w:r>
          </w:p>
        </w:tc>
        <w:tc>
          <w:tcPr>
            <w:tcW w:type="dxa" w:w="919"/>
          </w:tcPr>
          <w:p>
            <w:pPr>
              <w:pStyle w:val="Compact"/>
              <w:jc w:val="center"/>
            </w:pPr>
            <w:r>
              <w:rPr>
                <w:sz w:val="18"/>
                <w:szCs w:val="18"/>
              </w:rPr>
              <w:t xml:space="preserve">0.624</w:t>
            </w:r>
          </w:p>
        </w:tc>
        <w:tc>
          <w:tcPr>
            <w:tcW w:type="dxa" w:w="919"/>
          </w:tcPr>
          <w:p>
            <w:pPr>
              <w:pStyle w:val="Compact"/>
              <w:jc w:val="center"/>
            </w:pPr>
            <w:r>
              <w:rPr>
                <w:sz w:val="18"/>
                <w:szCs w:val="18"/>
              </w:rPr>
              <w:t xml:space="preserve">0.626</w:t>
            </w:r>
          </w:p>
        </w:tc>
      </w:tr>
      <w:tr>
        <w:tc>
          <w:tcPr>
            <w:tcW w:type="dxa" w:w="919"/>
          </w:tcPr>
          <w:p>
            <w:pPr>
              <w:pStyle w:val="Compact"/>
              <w:jc w:val="left"/>
            </w:pPr>
            <w:r>
              <w:rPr>
                <w:sz w:val="18"/>
                <w:szCs w:val="18"/>
              </w:rPr>
              <w:t xml:space="preserve">ISOLET</w:t>
            </w:r>
          </w:p>
        </w:tc>
        <w:tc>
          <w:tcPr>
            <w:tcW w:type="dxa" w:w="919"/>
          </w:tcPr>
          <w:p>
            <w:pPr>
              <w:pStyle w:val="Compact"/>
              <w:jc w:val="center"/>
            </w:pPr>
            <w:r>
              <w:rPr>
                <w:sz w:val="18"/>
                <w:szCs w:val="18"/>
              </w:rPr>
              <w:t xml:space="preserve">0.758</w:t>
            </w:r>
          </w:p>
        </w:tc>
        <w:tc>
          <w:tcPr>
            <w:tcW w:type="dxa" w:w="919"/>
          </w:tcPr>
          <w:p>
            <w:pPr>
              <w:pStyle w:val="Compact"/>
              <w:jc w:val="center"/>
            </w:pPr>
            <w:r>
              <w:rPr>
                <w:sz w:val="18"/>
                <w:szCs w:val="18"/>
              </w:rPr>
              <w:t xml:space="preserve">0.754</w:t>
            </w:r>
          </w:p>
        </w:tc>
        <w:tc>
          <w:tcPr>
            <w:tcW w:type="dxa" w:w="919"/>
          </w:tcPr>
          <w:p>
            <w:pPr>
              <w:pStyle w:val="Compact"/>
              <w:jc w:val="center"/>
            </w:pPr>
            <m:oMath>
              <m:r>
                <m:rPr>
                  <m:sty m:val="b"/>
                </m:rPr>
                <m:t>0.768</m:t>
              </m:r>
            </m:oMath>
          </w:p>
        </w:tc>
        <w:tc>
          <w:tcPr>
            <w:tcW w:type="dxa" w:w="919"/>
          </w:tcPr>
          <w:p>
            <w:pPr>
              <w:pStyle w:val="Compact"/>
              <w:jc w:val="center"/>
            </w:pPr>
            <w:r>
              <w:rPr>
                <w:sz w:val="18"/>
                <w:szCs w:val="18"/>
              </w:rPr>
              <w:t xml:space="preserve">0.766</w:t>
            </w:r>
          </w:p>
        </w:tc>
      </w:tr>
      <w:tr>
        <w:tc>
          <w:tcPr>
            <w:tcW w:type="dxa" w:w="919"/>
          </w:tcPr>
          <w:p>
            <w:pPr>
              <w:pStyle w:val="Compact"/>
              <w:jc w:val="left"/>
            </w:pPr>
            <w:r>
              <w:rPr>
                <w:sz w:val="18"/>
                <w:szCs w:val="18"/>
              </w:rPr>
              <w:t xml:space="preserve">Satimage</w:t>
            </w:r>
          </w:p>
        </w:tc>
        <w:tc>
          <w:tcPr>
            <w:tcW w:type="dxa" w:w="919"/>
          </w:tcPr>
          <w:p>
            <w:pPr>
              <w:pStyle w:val="Compact"/>
              <w:jc w:val="center"/>
            </w:pPr>
            <w:r>
              <w:rPr>
                <w:sz w:val="18"/>
                <w:szCs w:val="18"/>
              </w:rPr>
              <w:t xml:space="preserve">0.614</w:t>
            </w:r>
          </w:p>
        </w:tc>
        <w:tc>
          <w:tcPr>
            <w:tcW w:type="dxa" w:w="919"/>
          </w:tcPr>
          <w:p>
            <w:pPr>
              <w:pStyle w:val="Compact"/>
              <w:jc w:val="center"/>
            </w:pPr>
            <w:r>
              <w:rPr>
                <w:sz w:val="18"/>
                <w:szCs w:val="18"/>
              </w:rPr>
              <w:t xml:space="preserve">0.556</w:t>
            </w:r>
          </w:p>
        </w:tc>
        <w:tc>
          <w:tcPr>
            <w:tcW w:type="dxa" w:w="919"/>
          </w:tcPr>
          <w:p>
            <w:pPr>
              <w:pStyle w:val="Compact"/>
              <w:jc w:val="center"/>
            </w:pPr>
            <w:r>
              <w:rPr>
                <w:sz w:val="18"/>
                <w:szCs w:val="18"/>
              </w:rPr>
              <w:t xml:space="preserve">0.631</w:t>
            </w:r>
          </w:p>
        </w:tc>
        <w:tc>
          <w:tcPr>
            <w:tcW w:type="dxa" w:w="919"/>
          </w:tcPr>
          <w:p>
            <w:pPr>
              <w:pStyle w:val="Compact"/>
              <w:jc w:val="center"/>
            </w:pPr>
            <m:oMath>
              <m:r>
                <m:rPr>
                  <m:sty m:val="b"/>
                </m:rPr>
                <m:t>0.638</m:t>
              </m:r>
            </m:oMath>
          </w:p>
        </w:tc>
      </w:tr>
      <w:tr>
        <w:tc>
          <w:tcPr>
            <w:tcW w:type="dxa" w:w="919"/>
          </w:tcPr>
          <w:p>
            <w:pPr>
              <w:pStyle w:val="Compact"/>
              <w:jc w:val="left"/>
            </w:pPr>
            <w:r>
              <w:rPr>
                <w:sz w:val="18"/>
                <w:szCs w:val="18"/>
              </w:rPr>
              <w:t xml:space="preserve">USPS</w:t>
            </w:r>
          </w:p>
        </w:tc>
        <w:tc>
          <w:tcPr>
            <w:tcW w:type="dxa" w:w="919"/>
          </w:tcPr>
          <w:p>
            <w:pPr>
              <w:pStyle w:val="Compact"/>
              <w:jc w:val="center"/>
            </w:pPr>
            <w:r>
              <w:rPr>
                <w:sz w:val="18"/>
                <w:szCs w:val="18"/>
              </w:rPr>
              <w:t xml:space="preserve">0.879</w:t>
            </w:r>
          </w:p>
        </w:tc>
        <w:tc>
          <w:tcPr>
            <w:tcW w:type="dxa" w:w="919"/>
          </w:tcPr>
          <w:p>
            <w:pPr>
              <w:pStyle w:val="Compact"/>
              <w:jc w:val="center"/>
            </w:pPr>
            <w:r>
              <w:rPr>
                <w:sz w:val="18"/>
                <w:szCs w:val="18"/>
              </w:rPr>
              <w:t xml:space="preserve">0.808</w:t>
            </w:r>
          </w:p>
        </w:tc>
        <w:tc>
          <w:tcPr>
            <w:tcW w:type="dxa" w:w="919"/>
          </w:tcPr>
          <w:p>
            <w:pPr>
              <w:pStyle w:val="Compact"/>
              <w:jc w:val="center"/>
            </w:pPr>
            <m:oMath>
              <m:r>
                <m:rPr>
                  <m:sty m:val="b"/>
                </m:rPr>
                <m:t>0.894</m:t>
              </m:r>
            </m:oMath>
          </w:p>
        </w:tc>
        <w:tc>
          <w:tcPr>
            <w:tcW w:type="dxa" w:w="919"/>
          </w:tcPr>
          <w:p>
            <w:pPr>
              <w:pStyle w:val="Compact"/>
              <w:jc w:val="center"/>
            </w:pPr>
            <w:r>
              <w:rPr>
                <w:sz w:val="18"/>
                <w:szCs w:val="18"/>
              </w:rPr>
              <w:t xml:space="preserve">0.884</w:t>
            </w:r>
          </w:p>
        </w:tc>
      </w:tr>
      <w:tr>
        <w:tc>
          <w:tcPr>
            <w:tcW w:type="dxa" w:w="919"/>
          </w:tcPr>
          <w:p>
            <w:pPr>
              <w:pStyle w:val="Compact"/>
              <w:jc w:val="left"/>
            </w:pPr>
            <w:r>
              <w:rPr>
                <w:sz w:val="18"/>
                <w:szCs w:val="18"/>
              </w:rPr>
              <w:t xml:space="preserve">PenDigits</w:t>
            </w:r>
          </w:p>
        </w:tc>
        <w:tc>
          <w:tcPr>
            <w:tcW w:type="dxa" w:w="919"/>
          </w:tcPr>
          <w:p>
            <w:pPr>
              <w:pStyle w:val="Compact"/>
              <w:jc w:val="center"/>
            </w:pPr>
            <w:r>
              <w:rPr>
                <w:sz w:val="18"/>
                <w:szCs w:val="18"/>
              </w:rPr>
              <w:t xml:space="preserve">0.857</w:t>
            </w:r>
          </w:p>
        </w:tc>
        <w:tc>
          <w:tcPr>
            <w:tcW w:type="dxa" w:w="919"/>
          </w:tcPr>
          <w:p>
            <w:pPr>
              <w:pStyle w:val="Compact"/>
              <w:jc w:val="center"/>
            </w:pPr>
            <w:r>
              <w:rPr>
                <w:sz w:val="18"/>
                <w:szCs w:val="18"/>
              </w:rPr>
              <w:t xml:space="preserve">0.812</w:t>
            </w:r>
          </w:p>
        </w:tc>
        <w:tc>
          <w:tcPr>
            <w:tcW w:type="dxa" w:w="919"/>
          </w:tcPr>
          <w:p>
            <w:pPr>
              <w:pStyle w:val="Compact"/>
              <w:jc w:val="center"/>
            </w:pPr>
            <m:oMath>
              <m:r>
                <m:rPr>
                  <m:sty m:val="b"/>
                </m:rPr>
                <m:t>0.878</m:t>
              </m:r>
            </m:oMath>
          </w:p>
        </w:tc>
        <w:tc>
          <w:tcPr>
            <w:tcW w:type="dxa" w:w="919"/>
          </w:tcPr>
          <w:p>
            <w:pPr>
              <w:pStyle w:val="Compact"/>
              <w:jc w:val="center"/>
            </w:pPr>
            <w:r>
              <w:rPr>
                <w:sz w:val="18"/>
                <w:szCs w:val="18"/>
              </w:rPr>
              <w:t xml:space="preserve">0.876</w:t>
            </w:r>
          </w:p>
        </w:tc>
      </w:tr>
    </w:tbl>
    <w:bookmarkEnd w:id="76"/>
    <w:bookmarkStart w:id="77" w:name="tab:acc_per_dataset"/>
    <w:p>
      <w:pPr>
        <w:pStyle w:val="TableCaption"/>
        <w:jc w:val="center"/>
      </w:pPr>
      <w:r>
        <w:rPr>
          <w:rFonts w:ascii="Times New Roman" w:hAnsi="Times New Roman" w:cs="Times New Roman"/>
          <w:color w:val="000000"/>
          <w:sz w:val="20"/>
        </w:rPr>
        <w:t xml:space="preserve">Table 11. </w:t>
      </w:r>
      <w:r>
        <w:rPr>
          <w:rFonts w:ascii="Times New Roman" w:hAnsi="Times New Roman" w:cs="Times New Roman"/>
          <w:color w:val="000000"/>
          <w:sz w:val="20"/>
        </w:rPr>
        <w:t xml:space="preserve">Per-dataset ACC (mean over 5 seeds). DEAC is the deployable gate.</w:t>
      </w:r>
    </w:p>
    <w:tbl>
      <w:tblPr>
        <w:tblStyle w:val="Table"/>
        <w:tblW w:type="dxa" w:w="4595"/>
        <w:tblLook w:firstRow="1" w:lastRow="0" w:firstColumn="0" w:lastColumn="0" w:noHBand="0" w:noVBand="0" w:val="0020"/>
        <w:tblCaption w:val="Per-dataset ACC (mean over 5 seeds). DEAC is the deployable gate."/>
        <w:tblLayout w:type="fixed"/>
      </w:tblPr>
      <w:tblGrid>
        <w:gridCol w:w="919"/>
        <w:gridCol w:w="919"/>
        <w:gridCol w:w="919"/>
        <w:gridCol w:w="919"/>
        <w:gridCol w:w="919"/>
      </w:tblGrid>
      <w:tr>
        <w:trPr>
          <w:tblHeader w:val="on"/>
        </w:trPr>
        <w:tc>
          <w:tcPr>
            <w:tcW w:type="dxa" w:w="919"/>
          </w:tcPr>
          <w:p>
            <w:pPr>
              <w:pStyle w:val="Compact"/>
              <w:jc w:val="left"/>
            </w:pPr>
            <w:r>
              <w:rPr>
                <w:sz w:val="18"/>
                <w:szCs w:val="18"/>
              </w:rPr>
              <w:t xml:space="preserve">Dataset</w:t>
            </w:r>
          </w:p>
        </w:tc>
        <w:tc>
          <w:tcPr>
            <w:tcW w:type="dxa" w:w="919"/>
          </w:tcPr>
          <w:p>
            <w:pPr>
              <w:pStyle w:val="Compact"/>
              <w:jc w:val="center"/>
            </w:pPr>
            <w:r>
              <w:rPr>
                <w:sz w:val="18"/>
                <w:szCs w:val="18"/>
              </w:rPr>
              <w:t xml:space="preserve">Baseline</w:t>
            </w:r>
          </w:p>
        </w:tc>
        <w:tc>
          <w:tcPr>
            <w:tcW w:type="dxa" w:w="919"/>
          </w:tcPr>
          <w:p>
            <w:pPr>
              <w:pStyle w:val="Compact"/>
              <w:jc w:val="center"/>
            </w:pPr>
            <w:r>
              <w:rPr>
                <w:sz w:val="18"/>
                <w:szCs w:val="18"/>
              </w:rPr>
              <w:t xml:space="preserve">AMR-DE</w:t>
            </w:r>
          </w:p>
        </w:tc>
        <w:tc>
          <w:tcPr>
            <w:tcW w:type="dxa" w:w="919"/>
          </w:tcPr>
          <w:p>
            <w:pPr>
              <w:pStyle w:val="Compact"/>
              <w:jc w:val="center"/>
            </w:pPr>
            <w:r>
              <w:rPr>
                <w:sz w:val="18"/>
                <w:szCs w:val="18"/>
              </w:rPr>
              <w:t xml:space="preserve">EMR-CGC</w:t>
            </w:r>
          </w:p>
        </w:tc>
        <w:tc>
          <w:tcPr>
            <w:tcW w:type="dxa" w:w="919"/>
          </w:tcPr>
          <w:p>
            <w:pPr>
              <w:pStyle w:val="Compact"/>
              <w:jc w:val="center"/>
            </w:pPr>
            <w:r>
              <w:rPr>
                <w:b/>
                <w:bCs/>
                <w:sz w:val="18"/>
                <w:szCs w:val="18"/>
              </w:rPr>
              <w:t xml:space="preserve">DEAC</w:t>
            </w:r>
          </w:p>
        </w:tc>
      </w:tr>
      <w:tr>
        <w:tc>
          <w:tcPr>
            <w:tcW w:type="dxa" w:w="919"/>
          </w:tcPr>
          <w:p>
            <w:pPr>
              <w:pStyle w:val="Compact"/>
              <w:jc w:val="left"/>
            </w:pPr>
            <w:r>
              <w:rPr>
                <w:sz w:val="18"/>
                <w:szCs w:val="18"/>
              </w:rPr>
              <w:t xml:space="preserve">Wine</w:t>
            </w:r>
          </w:p>
        </w:tc>
        <w:tc>
          <w:tcPr>
            <w:tcW w:type="dxa" w:w="919"/>
          </w:tcPr>
          <w:p>
            <w:pPr>
              <w:pStyle w:val="Compact"/>
              <w:jc w:val="center"/>
            </w:pPr>
            <m:oMath>
              <m:r>
                <m:rPr>
                  <m:sty m:val="b"/>
                </m:rPr>
                <m:t>0.933</m:t>
              </m:r>
            </m:oMath>
          </w:p>
        </w:tc>
        <w:tc>
          <w:tcPr>
            <w:tcW w:type="dxa" w:w="919"/>
          </w:tcPr>
          <w:p>
            <w:pPr>
              <w:pStyle w:val="Compact"/>
              <w:jc w:val="center"/>
            </w:pPr>
            <w:r>
              <w:rPr>
                <w:sz w:val="18"/>
                <w:szCs w:val="18"/>
              </w:rPr>
              <w:t xml:space="preserve">0.921</w:t>
            </w:r>
          </w:p>
        </w:tc>
        <w:tc>
          <w:tcPr>
            <w:tcW w:type="dxa" w:w="919"/>
          </w:tcPr>
          <w:p>
            <w:pPr>
              <w:pStyle w:val="Compact"/>
              <w:jc w:val="center"/>
            </w:pPr>
            <w:r>
              <w:rPr>
                <w:sz w:val="18"/>
                <w:szCs w:val="18"/>
              </w:rPr>
              <w:t xml:space="preserve">0.930</w:t>
            </w:r>
          </w:p>
        </w:tc>
        <w:tc>
          <w:tcPr>
            <w:tcW w:type="dxa" w:w="919"/>
          </w:tcPr>
          <w:p>
            <w:pPr>
              <w:pStyle w:val="Compact"/>
              <w:jc w:val="center"/>
            </w:pPr>
            <w:r>
              <w:rPr>
                <w:sz w:val="18"/>
                <w:szCs w:val="18"/>
              </w:rPr>
              <w:t xml:space="preserve">0.928</w:t>
            </w:r>
          </w:p>
        </w:tc>
      </w:tr>
      <w:tr>
        <w:tc>
          <w:tcPr>
            <w:tcW w:type="dxa" w:w="919"/>
          </w:tcPr>
          <w:p>
            <w:pPr>
              <w:pStyle w:val="Compact"/>
              <w:jc w:val="left"/>
            </w:pPr>
            <w:r>
              <w:rPr>
                <w:sz w:val="18"/>
                <w:szCs w:val="18"/>
              </w:rPr>
              <w:t xml:space="preserve">Glass</w:t>
            </w:r>
          </w:p>
        </w:tc>
        <w:tc>
          <w:tcPr>
            <w:tcW w:type="dxa" w:w="919"/>
          </w:tcPr>
          <w:p>
            <w:pPr>
              <w:pStyle w:val="Compact"/>
              <w:jc w:val="center"/>
            </w:pPr>
            <m:oMath>
              <m:r>
                <m:rPr>
                  <m:sty m:val="b"/>
                </m:rPr>
                <m:t>0.489</m:t>
              </m:r>
            </m:oMath>
          </w:p>
        </w:tc>
        <w:tc>
          <w:tcPr>
            <w:tcW w:type="dxa" w:w="919"/>
          </w:tcPr>
          <w:p>
            <w:pPr>
              <w:pStyle w:val="Compact"/>
              <w:jc w:val="center"/>
            </w:pPr>
            <w:r>
              <w:rPr>
                <w:sz w:val="18"/>
                <w:szCs w:val="18"/>
              </w:rPr>
              <w:t xml:space="preserve">0.336</w:t>
            </w:r>
          </w:p>
        </w:tc>
        <w:tc>
          <w:tcPr>
            <w:tcW w:type="dxa" w:w="919"/>
          </w:tcPr>
          <w:p>
            <w:pPr>
              <w:pStyle w:val="Compact"/>
              <w:jc w:val="center"/>
            </w:pPr>
            <w:r>
              <w:rPr>
                <w:sz w:val="18"/>
                <w:szCs w:val="18"/>
              </w:rPr>
              <w:t xml:space="preserve">0.334</w:t>
            </w:r>
          </w:p>
        </w:tc>
        <w:tc>
          <w:tcPr>
            <w:tcW w:type="dxa" w:w="919"/>
          </w:tcPr>
          <w:p>
            <w:pPr>
              <w:pStyle w:val="Compact"/>
              <w:jc w:val="center"/>
            </w:pPr>
            <w:r>
              <w:rPr>
                <w:sz w:val="18"/>
                <w:szCs w:val="18"/>
              </w:rPr>
              <w:t xml:space="preserve">0.336</w:t>
            </w:r>
          </w:p>
        </w:tc>
      </w:tr>
      <w:tr>
        <w:tc>
          <w:tcPr>
            <w:tcW w:type="dxa" w:w="919"/>
          </w:tcPr>
          <w:p>
            <w:pPr>
              <w:pStyle w:val="Compact"/>
              <w:jc w:val="left"/>
            </w:pPr>
            <w:r>
              <w:rPr>
                <w:sz w:val="18"/>
                <w:szCs w:val="18"/>
              </w:rPr>
              <w:t xml:space="preserve">Olivetti</w:t>
            </w:r>
          </w:p>
        </w:tc>
        <w:tc>
          <w:tcPr>
            <w:tcW w:type="dxa" w:w="919"/>
          </w:tcPr>
          <w:p>
            <w:pPr>
              <w:pStyle w:val="Compact"/>
              <w:jc w:val="center"/>
            </w:pPr>
            <w:r>
              <w:rPr>
                <w:sz w:val="18"/>
                <w:szCs w:val="18"/>
              </w:rPr>
              <w:t xml:space="preserve">0.123</w:t>
            </w:r>
          </w:p>
        </w:tc>
        <w:tc>
          <w:tcPr>
            <w:tcW w:type="dxa" w:w="919"/>
          </w:tcPr>
          <w:p>
            <w:pPr>
              <w:pStyle w:val="Compact"/>
              <w:jc w:val="center"/>
            </w:pPr>
            <w:r>
              <w:rPr>
                <w:sz w:val="18"/>
                <w:szCs w:val="18"/>
              </w:rPr>
              <w:t xml:space="preserve">0.311</w:t>
            </w:r>
          </w:p>
        </w:tc>
        <w:tc>
          <w:tcPr>
            <w:tcW w:type="dxa" w:w="919"/>
          </w:tcPr>
          <w:p>
            <w:pPr>
              <w:pStyle w:val="Compact"/>
              <w:jc w:val="center"/>
            </w:pPr>
            <m:oMath>
              <m:r>
                <m:rPr>
                  <m:sty m:val="b"/>
                </m:rPr>
                <m:t>0.447</m:t>
              </m:r>
            </m:oMath>
          </w:p>
        </w:tc>
        <w:tc>
          <w:tcPr>
            <w:tcW w:type="dxa" w:w="919"/>
          </w:tcPr>
          <w:p>
            <w:pPr>
              <w:pStyle w:val="Compact"/>
              <w:jc w:val="center"/>
            </w:pPr>
            <w:r>
              <w:rPr>
                <w:sz w:val="18"/>
                <w:szCs w:val="18"/>
              </w:rPr>
              <w:t xml:space="preserve">0.311</w:t>
            </w:r>
          </w:p>
        </w:tc>
      </w:tr>
      <w:tr>
        <w:tc>
          <w:tcPr>
            <w:tcW w:type="dxa" w:w="919"/>
          </w:tcPr>
          <w:p>
            <w:pPr>
              <w:pStyle w:val="Compact"/>
              <w:jc w:val="left"/>
            </w:pPr>
            <w:r>
              <w:rPr>
                <w:sz w:val="18"/>
                <w:szCs w:val="18"/>
              </w:rPr>
              <w:t xml:space="preserve">CNAE-9</w:t>
            </w:r>
          </w:p>
        </w:tc>
        <w:tc>
          <w:tcPr>
            <w:tcW w:type="dxa" w:w="919"/>
          </w:tcPr>
          <w:p>
            <w:pPr>
              <w:pStyle w:val="Compact"/>
              <w:jc w:val="center"/>
            </w:pPr>
            <w:r>
              <w:rPr>
                <w:sz w:val="18"/>
                <w:szCs w:val="18"/>
              </w:rPr>
              <w:t xml:space="preserve">0.752</w:t>
            </w:r>
          </w:p>
        </w:tc>
        <w:tc>
          <w:tcPr>
            <w:tcW w:type="dxa" w:w="919"/>
          </w:tcPr>
          <w:p>
            <w:pPr>
              <w:pStyle w:val="Compact"/>
              <w:jc w:val="center"/>
            </w:pPr>
            <w:r>
              <w:rPr>
                <w:sz w:val="18"/>
                <w:szCs w:val="18"/>
              </w:rPr>
              <w:t xml:space="preserve">0.670</w:t>
            </w:r>
          </w:p>
        </w:tc>
        <w:tc>
          <w:tcPr>
            <w:tcW w:type="dxa" w:w="919"/>
          </w:tcPr>
          <w:p>
            <w:pPr>
              <w:pStyle w:val="Compact"/>
              <w:jc w:val="center"/>
            </w:pPr>
            <m:oMath>
              <m:r>
                <m:rPr>
                  <m:sty m:val="b"/>
                </m:rPr>
                <m:t>0.779</m:t>
              </m:r>
            </m:oMath>
          </w:p>
        </w:tc>
        <w:tc>
          <w:tcPr>
            <w:tcW w:type="dxa" w:w="919"/>
          </w:tcPr>
          <w:p>
            <w:pPr>
              <w:pStyle w:val="Compact"/>
              <w:jc w:val="center"/>
            </w:pPr>
            <w:r>
              <w:rPr>
                <w:sz w:val="18"/>
                <w:szCs w:val="18"/>
              </w:rPr>
              <w:t xml:space="preserve">0.777</w:t>
            </w:r>
          </w:p>
        </w:tc>
      </w:tr>
      <w:tr>
        <w:tc>
          <w:tcPr>
            <w:tcW w:type="dxa" w:w="919"/>
          </w:tcPr>
          <w:p>
            <w:pPr>
              <w:pStyle w:val="Compact"/>
              <w:jc w:val="left"/>
            </w:pPr>
            <w:r>
              <w:rPr>
                <w:sz w:val="18"/>
                <w:szCs w:val="18"/>
              </w:rPr>
              <w:t xml:space="preserve">COIL-20</w:t>
            </w:r>
          </w:p>
        </w:tc>
        <w:tc>
          <w:tcPr>
            <w:tcW w:type="dxa" w:w="919"/>
          </w:tcPr>
          <w:p>
            <w:pPr>
              <w:pStyle w:val="Compact"/>
              <w:jc w:val="center"/>
            </w:pPr>
            <w:r>
              <w:rPr>
                <w:sz w:val="18"/>
                <w:szCs w:val="18"/>
              </w:rPr>
              <w:t xml:space="preserve">0.752</w:t>
            </w:r>
          </w:p>
        </w:tc>
        <w:tc>
          <w:tcPr>
            <w:tcW w:type="dxa" w:w="919"/>
          </w:tcPr>
          <w:p>
            <w:pPr>
              <w:pStyle w:val="Compact"/>
              <w:jc w:val="center"/>
            </w:pPr>
            <m:oMath>
              <m:r>
                <m:rPr>
                  <m:sty m:val="b"/>
                </m:rPr>
                <m:t>0.833</m:t>
              </m:r>
            </m:oMath>
          </w:p>
        </w:tc>
        <w:tc>
          <w:tcPr>
            <w:tcW w:type="dxa" w:w="919"/>
          </w:tcPr>
          <w:p>
            <w:pPr>
              <w:pStyle w:val="Compact"/>
              <w:jc w:val="center"/>
            </w:pPr>
            <w:r>
              <w:rPr>
                <w:sz w:val="18"/>
                <w:szCs w:val="18"/>
              </w:rPr>
              <w:t xml:space="preserve">0.790</w:t>
            </w:r>
          </w:p>
        </w:tc>
        <w:tc>
          <w:tcPr>
            <w:tcW w:type="dxa" w:w="919"/>
          </w:tcPr>
          <w:p>
            <w:pPr>
              <w:pStyle w:val="Compact"/>
              <w:jc w:val="center"/>
            </w:pPr>
            <w:r>
              <w:rPr>
                <w:sz w:val="18"/>
                <w:szCs w:val="18"/>
              </w:rPr>
              <w:t xml:space="preserve">0.790</w:t>
            </w:r>
          </w:p>
        </w:tc>
      </w:tr>
      <w:tr>
        <w:tc>
          <w:tcPr>
            <w:tcW w:type="dxa" w:w="919"/>
          </w:tcPr>
          <w:p>
            <w:pPr>
              <w:pStyle w:val="Compact"/>
              <w:jc w:val="left"/>
            </w:pPr>
            <w:r>
              <w:rPr>
                <w:sz w:val="18"/>
                <w:szCs w:val="18"/>
              </w:rPr>
              <w:t xml:space="preserve">Optdigits</w:t>
            </w:r>
          </w:p>
        </w:tc>
        <w:tc>
          <w:tcPr>
            <w:tcW w:type="dxa" w:w="919"/>
          </w:tcPr>
          <w:p>
            <w:pPr>
              <w:pStyle w:val="Compact"/>
              <w:jc w:val="center"/>
            </w:pPr>
            <w:r>
              <w:rPr>
                <w:sz w:val="18"/>
                <w:szCs w:val="18"/>
              </w:rPr>
              <w:t xml:space="preserve">0.897</w:t>
            </w:r>
          </w:p>
        </w:tc>
        <w:tc>
          <w:tcPr>
            <w:tcW w:type="dxa" w:w="919"/>
          </w:tcPr>
          <w:p>
            <w:pPr>
              <w:pStyle w:val="Compact"/>
              <w:jc w:val="center"/>
            </w:pPr>
            <w:r>
              <w:rPr>
                <w:sz w:val="18"/>
                <w:szCs w:val="18"/>
              </w:rPr>
              <w:t xml:space="preserve">0.870</w:t>
            </w:r>
          </w:p>
        </w:tc>
        <w:tc>
          <w:tcPr>
            <w:tcW w:type="dxa" w:w="919"/>
          </w:tcPr>
          <w:p>
            <w:pPr>
              <w:pStyle w:val="Compact"/>
              <w:jc w:val="center"/>
            </w:pPr>
            <w:r>
              <w:rPr>
                <w:sz w:val="18"/>
                <w:szCs w:val="18"/>
              </w:rPr>
              <w:t xml:space="preserve">0.906</w:t>
            </w:r>
          </w:p>
        </w:tc>
        <w:tc>
          <w:tcPr>
            <w:tcW w:type="dxa" w:w="919"/>
          </w:tcPr>
          <w:p>
            <w:pPr>
              <w:pStyle w:val="Compact"/>
              <w:jc w:val="center"/>
            </w:pPr>
            <m:oMath>
              <m:r>
                <m:rPr>
                  <m:sty m:val="b"/>
                </m:rPr>
                <m:t>0.907</m:t>
              </m:r>
            </m:oMath>
          </w:p>
        </w:tc>
      </w:tr>
      <w:tr>
        <w:tc>
          <w:tcPr>
            <w:tcW w:type="dxa" w:w="919"/>
          </w:tcPr>
          <w:p>
            <w:pPr>
              <w:pStyle w:val="Compact"/>
              <w:jc w:val="left"/>
            </w:pPr>
            <w:r>
              <w:rPr>
                <w:sz w:val="18"/>
                <w:szCs w:val="18"/>
              </w:rPr>
              <w:t xml:space="preserve">MFeat</w:t>
            </w:r>
          </w:p>
        </w:tc>
        <w:tc>
          <w:tcPr>
            <w:tcW w:type="dxa" w:w="919"/>
          </w:tcPr>
          <w:p>
            <w:pPr>
              <w:pStyle w:val="Compact"/>
              <w:jc w:val="center"/>
            </w:pPr>
            <w:r>
              <w:rPr>
                <w:sz w:val="18"/>
                <w:szCs w:val="18"/>
              </w:rPr>
              <w:t xml:space="preserve">0.948</w:t>
            </w:r>
          </w:p>
        </w:tc>
        <w:tc>
          <w:tcPr>
            <w:tcW w:type="dxa" w:w="919"/>
          </w:tcPr>
          <w:p>
            <w:pPr>
              <w:pStyle w:val="Compact"/>
              <w:jc w:val="center"/>
            </w:pPr>
            <w:r>
              <w:rPr>
                <w:sz w:val="18"/>
                <w:szCs w:val="18"/>
              </w:rPr>
              <w:t xml:space="preserve">0.932</w:t>
            </w:r>
          </w:p>
        </w:tc>
        <w:tc>
          <w:tcPr>
            <w:tcW w:type="dxa" w:w="919"/>
          </w:tcPr>
          <w:p>
            <w:pPr>
              <w:pStyle w:val="Compact"/>
              <w:jc w:val="center"/>
            </w:pPr>
            <m:oMath>
              <m:r>
                <m:rPr>
                  <m:sty m:val="b"/>
                </m:rPr>
                <m:t>0.972</m:t>
              </m:r>
            </m:oMath>
          </w:p>
        </w:tc>
        <w:tc>
          <w:tcPr>
            <w:tcW w:type="dxa" w:w="919"/>
          </w:tcPr>
          <w:p>
            <w:pPr>
              <w:pStyle w:val="Compact"/>
              <w:jc w:val="center"/>
            </w:pPr>
            <m:oMath>
              <m:r>
                <m:rPr>
                  <m:sty m:val="b"/>
                </m:rPr>
                <m:t>0.972</m:t>
              </m:r>
            </m:oMath>
          </w:p>
        </w:tc>
      </w:tr>
      <w:tr>
        <w:tc>
          <w:tcPr>
            <w:tcW w:type="dxa" w:w="919"/>
          </w:tcPr>
          <w:p>
            <w:pPr>
              <w:pStyle w:val="Compact"/>
              <w:jc w:val="left"/>
            </w:pPr>
            <w:r>
              <w:rPr>
                <w:sz w:val="18"/>
                <w:szCs w:val="18"/>
              </w:rPr>
              <w:t xml:space="preserve">Segment.</w:t>
            </w:r>
          </w:p>
        </w:tc>
        <w:tc>
          <w:tcPr>
            <w:tcW w:type="dxa" w:w="919"/>
          </w:tcPr>
          <w:p>
            <w:pPr>
              <w:pStyle w:val="Compact"/>
              <w:jc w:val="center"/>
            </w:pPr>
            <m:oMath>
              <m:r>
                <m:rPr>
                  <m:sty m:val="b"/>
                </m:rPr>
                <m:t>0.489</m:t>
              </m:r>
            </m:oMath>
          </w:p>
        </w:tc>
        <w:tc>
          <w:tcPr>
            <w:tcW w:type="dxa" w:w="919"/>
          </w:tcPr>
          <w:p>
            <w:pPr>
              <w:pStyle w:val="Compact"/>
              <w:jc w:val="center"/>
            </w:pPr>
            <w:r>
              <w:rPr>
                <w:sz w:val="18"/>
                <w:szCs w:val="18"/>
              </w:rPr>
              <w:t xml:space="preserve">0.376</w:t>
            </w:r>
          </w:p>
        </w:tc>
        <w:tc>
          <w:tcPr>
            <w:tcW w:type="dxa" w:w="919"/>
          </w:tcPr>
          <w:p>
            <w:pPr>
              <w:pStyle w:val="Compact"/>
              <w:jc w:val="center"/>
            </w:pPr>
            <w:r>
              <w:rPr>
                <w:sz w:val="18"/>
                <w:szCs w:val="18"/>
              </w:rPr>
              <w:t xml:space="preserve">0.434</w:t>
            </w:r>
          </w:p>
        </w:tc>
        <w:tc>
          <w:tcPr>
            <w:tcW w:type="dxa" w:w="919"/>
          </w:tcPr>
          <w:p>
            <w:pPr>
              <w:pStyle w:val="Compact"/>
              <w:jc w:val="center"/>
            </w:pPr>
            <w:r>
              <w:rPr>
                <w:sz w:val="18"/>
                <w:szCs w:val="18"/>
              </w:rPr>
              <w:t xml:space="preserve">0.474</w:t>
            </w:r>
          </w:p>
        </w:tc>
      </w:tr>
      <w:tr>
        <w:tc>
          <w:tcPr>
            <w:tcW w:type="dxa" w:w="919"/>
          </w:tcPr>
          <w:p>
            <w:pPr>
              <w:pStyle w:val="Compact"/>
              <w:jc w:val="left"/>
            </w:pPr>
            <w:r>
              <w:rPr>
                <w:sz w:val="18"/>
                <w:szCs w:val="18"/>
              </w:rPr>
              <w:t xml:space="preserve">ISOLET</w:t>
            </w:r>
          </w:p>
        </w:tc>
        <w:tc>
          <w:tcPr>
            <w:tcW w:type="dxa" w:w="919"/>
          </w:tcPr>
          <w:p>
            <w:pPr>
              <w:pStyle w:val="Compact"/>
              <w:jc w:val="center"/>
            </w:pPr>
            <w:r>
              <w:rPr>
                <w:sz w:val="18"/>
                <w:szCs w:val="18"/>
              </w:rPr>
              <w:t xml:space="preserve">0.528</w:t>
            </w:r>
          </w:p>
        </w:tc>
        <w:tc>
          <w:tcPr>
            <w:tcW w:type="dxa" w:w="919"/>
          </w:tcPr>
          <w:p>
            <w:pPr>
              <w:pStyle w:val="Compact"/>
              <w:jc w:val="center"/>
            </w:pPr>
            <m:oMath>
              <m:r>
                <m:rPr>
                  <m:sty m:val="b"/>
                </m:rPr>
                <m:t>0.553</m:t>
              </m:r>
            </m:oMath>
          </w:p>
        </w:tc>
        <w:tc>
          <w:tcPr>
            <w:tcW w:type="dxa" w:w="919"/>
          </w:tcPr>
          <w:p>
            <w:pPr>
              <w:pStyle w:val="Compact"/>
              <w:jc w:val="center"/>
            </w:pPr>
            <w:r>
              <w:rPr>
                <w:sz w:val="18"/>
                <w:szCs w:val="18"/>
              </w:rPr>
              <w:t xml:space="preserve">0.545</w:t>
            </w:r>
          </w:p>
        </w:tc>
        <w:tc>
          <w:tcPr>
            <w:tcW w:type="dxa" w:w="919"/>
          </w:tcPr>
          <w:p>
            <w:pPr>
              <w:pStyle w:val="Compact"/>
              <w:jc w:val="center"/>
            </w:pPr>
            <w:r>
              <w:rPr>
                <w:sz w:val="18"/>
                <w:szCs w:val="18"/>
              </w:rPr>
              <w:t xml:space="preserve">0.544</w:t>
            </w:r>
          </w:p>
        </w:tc>
      </w:tr>
      <w:tr>
        <w:tc>
          <w:tcPr>
            <w:tcW w:type="dxa" w:w="919"/>
          </w:tcPr>
          <w:p>
            <w:pPr>
              <w:pStyle w:val="Compact"/>
              <w:jc w:val="left"/>
            </w:pPr>
            <w:r>
              <w:rPr>
                <w:sz w:val="18"/>
                <w:szCs w:val="18"/>
              </w:rPr>
              <w:t xml:space="preserve">Satimage</w:t>
            </w:r>
          </w:p>
        </w:tc>
        <w:tc>
          <w:tcPr>
            <w:tcW w:type="dxa" w:w="919"/>
          </w:tcPr>
          <w:p>
            <w:pPr>
              <w:pStyle w:val="Compact"/>
              <w:jc w:val="center"/>
            </w:pPr>
            <w:r>
              <w:rPr>
                <w:sz w:val="18"/>
                <w:szCs w:val="18"/>
              </w:rPr>
              <w:t xml:space="preserve">0.541</w:t>
            </w:r>
          </w:p>
        </w:tc>
        <w:tc>
          <w:tcPr>
            <w:tcW w:type="dxa" w:w="919"/>
          </w:tcPr>
          <w:p>
            <w:pPr>
              <w:pStyle w:val="Compact"/>
              <w:jc w:val="center"/>
            </w:pPr>
            <w:r>
              <w:rPr>
                <w:sz w:val="18"/>
                <w:szCs w:val="18"/>
              </w:rPr>
              <w:t xml:space="preserve">0.391</w:t>
            </w:r>
          </w:p>
        </w:tc>
        <w:tc>
          <w:tcPr>
            <w:tcW w:type="dxa" w:w="919"/>
          </w:tcPr>
          <w:p>
            <w:pPr>
              <w:pStyle w:val="Compact"/>
              <w:jc w:val="center"/>
            </w:pPr>
            <w:r>
              <w:rPr>
                <w:sz w:val="18"/>
                <w:szCs w:val="18"/>
              </w:rPr>
              <w:t xml:space="preserve">0.614</w:t>
            </w:r>
          </w:p>
        </w:tc>
        <w:tc>
          <w:tcPr>
            <w:tcW w:type="dxa" w:w="919"/>
          </w:tcPr>
          <w:p>
            <w:pPr>
              <w:pStyle w:val="Compact"/>
              <w:jc w:val="center"/>
            </w:pPr>
            <m:oMath>
              <m:r>
                <m:rPr>
                  <m:sty m:val="b"/>
                </m:rPr>
                <m:t>0.626</m:t>
              </m:r>
            </m:oMath>
          </w:p>
        </w:tc>
      </w:tr>
      <w:tr>
        <w:tc>
          <w:tcPr>
            <w:tcW w:type="dxa" w:w="919"/>
          </w:tcPr>
          <w:p>
            <w:pPr>
              <w:pStyle w:val="Compact"/>
              <w:jc w:val="left"/>
            </w:pPr>
            <w:r>
              <w:rPr>
                <w:sz w:val="18"/>
                <w:szCs w:val="18"/>
              </w:rPr>
              <w:t xml:space="preserve">USPS</w:t>
            </w:r>
          </w:p>
        </w:tc>
        <w:tc>
          <w:tcPr>
            <w:tcW w:type="dxa" w:w="919"/>
          </w:tcPr>
          <w:p>
            <w:pPr>
              <w:pStyle w:val="Compact"/>
              <w:jc w:val="center"/>
            </w:pPr>
            <w:r>
              <w:rPr>
                <w:sz w:val="18"/>
                <w:szCs w:val="18"/>
              </w:rPr>
              <w:t xml:space="preserve">0.909</w:t>
            </w:r>
          </w:p>
        </w:tc>
        <w:tc>
          <w:tcPr>
            <w:tcW w:type="dxa" w:w="919"/>
          </w:tcPr>
          <w:p>
            <w:pPr>
              <w:pStyle w:val="Compact"/>
              <w:jc w:val="center"/>
            </w:pPr>
            <w:r>
              <w:rPr>
                <w:sz w:val="18"/>
                <w:szCs w:val="18"/>
              </w:rPr>
              <w:t xml:space="preserve">0.702</w:t>
            </w:r>
          </w:p>
        </w:tc>
        <w:tc>
          <w:tcPr>
            <w:tcW w:type="dxa" w:w="919"/>
          </w:tcPr>
          <w:p>
            <w:pPr>
              <w:pStyle w:val="Compact"/>
              <w:jc w:val="center"/>
            </w:pPr>
            <m:oMath>
              <m:r>
                <m:rPr>
                  <m:sty m:val="b"/>
                </m:rPr>
                <m:t>0.937</m:t>
              </m:r>
            </m:oMath>
          </w:p>
        </w:tc>
        <w:tc>
          <w:tcPr>
            <w:tcW w:type="dxa" w:w="919"/>
          </w:tcPr>
          <w:p>
            <w:pPr>
              <w:pStyle w:val="Compact"/>
              <w:jc w:val="center"/>
            </w:pPr>
            <w:r>
              <w:rPr>
                <w:sz w:val="18"/>
                <w:szCs w:val="18"/>
              </w:rPr>
              <w:t xml:space="preserve">0.920</w:t>
            </w:r>
          </w:p>
        </w:tc>
      </w:tr>
      <w:tr>
        <w:tc>
          <w:tcPr>
            <w:tcW w:type="dxa" w:w="919"/>
          </w:tcPr>
          <w:p>
            <w:pPr>
              <w:pStyle w:val="Compact"/>
              <w:jc w:val="left"/>
            </w:pPr>
            <w:r>
              <w:rPr>
                <w:sz w:val="18"/>
                <w:szCs w:val="18"/>
              </w:rPr>
              <w:t xml:space="preserve">PenDigits</w:t>
            </w:r>
          </w:p>
        </w:tc>
        <w:tc>
          <w:tcPr>
            <w:tcW w:type="dxa" w:w="919"/>
          </w:tcPr>
          <w:p>
            <w:pPr>
              <w:pStyle w:val="Compact"/>
              <w:jc w:val="center"/>
            </w:pPr>
            <w:r>
              <w:rPr>
                <w:sz w:val="18"/>
                <w:szCs w:val="18"/>
              </w:rPr>
              <w:t xml:space="preserve">0.735</w:t>
            </w:r>
          </w:p>
        </w:tc>
        <w:tc>
          <w:tcPr>
            <w:tcW w:type="dxa" w:w="919"/>
          </w:tcPr>
          <w:p>
            <w:pPr>
              <w:pStyle w:val="Compact"/>
              <w:jc w:val="center"/>
            </w:pPr>
            <w:r>
              <w:rPr>
                <w:sz w:val="18"/>
                <w:szCs w:val="18"/>
              </w:rPr>
              <w:t xml:space="preserve">0.586</w:t>
            </w:r>
          </w:p>
        </w:tc>
        <w:tc>
          <w:tcPr>
            <w:tcW w:type="dxa" w:w="919"/>
          </w:tcPr>
          <w:p>
            <w:pPr>
              <w:pStyle w:val="Compact"/>
              <w:jc w:val="center"/>
            </w:pPr>
            <m:oMath>
              <m:r>
                <m:rPr>
                  <m:sty m:val="b"/>
                </m:rPr>
                <m:t>0.808</m:t>
              </m:r>
            </m:oMath>
          </w:p>
        </w:tc>
        <w:tc>
          <w:tcPr>
            <w:tcW w:type="dxa" w:w="919"/>
          </w:tcPr>
          <w:p>
            <w:pPr>
              <w:pStyle w:val="Compact"/>
              <w:jc w:val="center"/>
            </w:pPr>
            <w:r>
              <w:rPr>
                <w:sz w:val="18"/>
                <w:szCs w:val="18"/>
              </w:rPr>
              <w:t xml:space="preserve">0.798</w:t>
            </w:r>
          </w:p>
        </w:tc>
      </w:tr>
    </w:tbl>
    <w:bookmarkEnd w:id="77"/>
    <w:p>
      <w:pPr>
        <w:pStyle w:val="BodyText"/>
        <w:spacing w:before="0" w:after="0" w:line="240" w:lineRule="auto"/>
        <w:ind w:firstLine="330"/>
        <w:jc w:val="both"/>
      </w:pPr>
      <w:r>
        <w:rPr>
          <w:color w:val="C00000"/>
        </w:rPr>
        <w:t xml:space="preserve">External indices say nothing about how well each method recovers the</w:t>
      </w:r>
      <w:r>
        <w:rPr>
          <w:color w:val="C00000"/>
        </w:rPr>
        <w:t xml:space="preserve"> </w:t>
      </w:r>
      <w:r>
        <w:rPr>
          <w:i/>
          <w:iCs/>
          <w:color w:val="C00000"/>
        </w:rPr>
        <w:t xml:space="preserve">number</w:t>
      </w:r>
      <w:r>
        <w:rPr>
          <w:color w:val="C00000"/>
        </w:rPr>
        <w:t xml:space="preserve"> </w:t>
      </w:r>
      <w:r>
        <w:rPr>
          <w:color w:val="C00000"/>
        </w:rPr>
        <w:t xml:space="preserve">of clusters. Table </w:t>
      </w:r>
      <w:hyperlink w:anchor="tab:ccount">
        <w:r>
          <w:rPr>
            <w:rStyle w:val="Hyperlink"/>
          </w:rPr>
          <w:t xml:space="preserve">12</w:t>
        </w:r>
      </w:hyperlink>
      <w:r>
        <w:rPr>
          <w:color w:val="C00000"/>
        </w:rPr>
        <w:t xml:space="preserve"> </w:t>
      </w:r>
      <w:r>
        <w:rPr>
          <w:color w:val="C00000"/>
        </w:rPr>
        <w:t xml:space="preserve">reports predicted counts against</w:t>
      </w:r>
      <w:r>
        <w:rPr>
          <w:color w:val="C00000"/>
        </w:rPr>
        <w:t xml:space="preserve"> </w:t>
      </w:r>
      <m:oMath>
        <m:sSub>
          <m:e>
            <m:r>
              <m:t>C</m:t>
            </m:r>
          </m:e>
          <m:sub>
            <m:r>
              <m:rPr>
                <m:nor/>
                <m:sty m:val="p"/>
              </m:rPr>
              <m:t>true</m:t>
            </m:r>
          </m:sub>
        </m:sSub>
      </m:oMath>
      <w:r>
        <w:rPr>
          <w:color w:val="C00000"/>
        </w:rPr>
        <w:t xml:space="preserve">, and here the deployable method is weak: the gate’s mean absolute count error is large and it matches</w:t>
      </w:r>
      <w:r>
        <w:rPr>
          <w:color w:val="C00000"/>
        </w:rPr>
        <w:t xml:space="preserve"> </w:t>
      </w:r>
      <m:oMath>
        <m:sSub>
          <m:e>
            <m:r>
              <m:t>C</m:t>
            </m:r>
          </m:e>
          <m:sub>
            <m:r>
              <m:rPr>
                <m:nor/>
                <m:sty m:val="p"/>
              </m:rPr>
              <m:t>true</m:t>
            </m:r>
          </m:sub>
        </m:sSub>
      </m:oMath>
      <w:r>
        <w:rPr>
          <w:color w:val="C00000"/>
        </w:rPr>
        <w:t xml:space="preserve"> </w:t>
      </w:r>
      <w:r>
        <w:rPr>
          <w:color w:val="C00000"/>
        </w:rPr>
        <w:t xml:space="preserve">on only 2 of 12 datasets. Recovering the right granularity without labels is itself part of the internal–external misalignment, not a solved sub-problem—a point we return to in the discussion.</w:t>
      </w:r>
    </w:p>
    <w:bookmarkStart w:id="78" w:name="tab:ccount"/>
    <w:p>
      <w:pPr>
        <w:pStyle w:val="TableCaption"/>
        <w:jc w:val="center"/>
      </w:pPr>
      <w:r>
        <w:rPr>
          <w:rFonts w:ascii="Times New Roman" w:hAnsi="Times New Roman" w:cs="Times New Roman"/>
          <w:color w:val="000000"/>
          <w:sz w:val="20"/>
        </w:rPr>
        <w:t xml:space="preserve">Table 12. </w:t>
      </w:r>
      <w:r>
        <w:rPr>
          <w:rFonts w:ascii="Times New Roman" w:hAnsi="Times New Roman" w:cs="Times New Roman"/>
          <w:color w:val="000000"/>
          <w:sz w:val="20"/>
        </w:rPr>
        <w:t xml:space="preserve">Predicted cluster count (mean over 5 seeds) vs. ground truth. DEAC is the deployable gate’s selected engine; recovering the right granularity without labels is itself hard (part of the misalignment). Best (closest to</w:t>
      </w:r>
      <w:r>
        <w:rPr>
          <w:rFonts w:ascii="Times New Roman" w:hAnsi="Times New Roman" w:cs="Times New Roman"/>
          <w:color w:val="000000"/>
          <w:sz w:val="20"/>
        </w:rPr>
        <w:t xml:space="preserve"> </w:t>
      </w:r>
      <m:oMath>
        <m:sSub>
          <m:e>
            <m:r>
              <m:t>C</m:t>
            </m:r>
          </m:e>
          <m:sub>
            <m:r>
              <m:rPr>
                <m:nor/>
                <m:sty m:val="p"/>
              </m:rPr>
              <m:t>true</m:t>
            </m:r>
          </m:sub>
        </m:sSub>
      </m:oMath>
      <w:r>
        <w:rPr>
          <w:rFonts w:ascii="Times New Roman" w:hAnsi="Times New Roman" w:cs="Times New Roman"/>
          <w:color w:val="000000"/>
          <w:sz w:val="20"/>
        </w:rPr>
        <w:t xml:space="preserve">) in bold.</w:t>
      </w:r>
    </w:p>
    <w:tbl>
      <w:tblPr>
        <w:tblStyle w:val="Table"/>
        <w:tblW w:type="dxa" w:w="4596"/>
        <w:tblLook w:firstRow="1" w:lastRow="0" w:firstColumn="0" w:lastColumn="0" w:noHBand="0" w:noVBand="0" w:val="0020"/>
        <w:tblCaption w:val="Predicted cluster count (mean over 5 seeds) vs. ground truth. DEAC is the deployable gate’s selected engine; recovering the right granularity without labels is itself hard (part of the misalignment). Best (closest to C_{\text{true}}) in bold."/>
        <w:tblLayout w:type="fixed"/>
      </w:tblPr>
      <w:tblGrid>
        <w:gridCol w:w="766"/>
        <w:gridCol w:w="766"/>
        <w:gridCol w:w="766"/>
        <w:gridCol w:w="766"/>
        <w:gridCol w:w="766"/>
        <w:gridCol w:w="766"/>
      </w:tblGrid>
      <w:tr>
        <w:trPr>
          <w:tblHeader w:val="on"/>
        </w:trPr>
        <w:tc>
          <w:tcPr>
            <w:tcW w:type="dxa" w:w="766"/>
          </w:tcPr>
          <w:p>
            <w:pPr>
              <w:pStyle w:val="Compact"/>
              <w:jc w:val="left"/>
            </w:pPr>
            <w:r>
              <w:rPr>
                <w:sz w:val="18"/>
                <w:szCs w:val="18"/>
              </w:rPr>
              <w:t xml:space="preserve">Dataset</w:t>
            </w:r>
          </w:p>
        </w:tc>
        <w:tc>
          <w:tcPr>
            <w:tcW w:type="dxa" w:w="766"/>
          </w:tcPr>
          <w:p>
            <w:pPr>
              <w:pStyle w:val="Compact"/>
              <w:jc w:val="center"/>
            </w:pPr>
            <m:oMath>
              <m:sSub>
                <m:e>
                  <m:r>
                    <m:t>C</m:t>
                  </m:r>
                </m:e>
                <m:sub>
                  <m:r>
                    <m:rPr>
                      <m:nor/>
                      <m:sty m:val="p"/>
                    </m:rPr>
                    <m:t>true</m:t>
                  </m:r>
                </m:sub>
              </m:sSub>
            </m:oMath>
          </w:p>
        </w:tc>
        <w:tc>
          <w:tcPr>
            <w:tcW w:type="dxa" w:w="766"/>
          </w:tcPr>
          <w:p>
            <w:pPr>
              <w:pStyle w:val="Compact"/>
              <w:jc w:val="center"/>
            </w:pPr>
            <w:r>
              <w:rPr>
                <w:sz w:val="18"/>
                <w:szCs w:val="18"/>
              </w:rPr>
              <w:t xml:space="preserve">Baseline</w:t>
            </w:r>
          </w:p>
        </w:tc>
        <w:tc>
          <w:tcPr>
            <w:tcW w:type="dxa" w:w="766"/>
          </w:tcPr>
          <w:p>
            <w:pPr>
              <w:pStyle w:val="Compact"/>
              <w:jc w:val="center"/>
            </w:pPr>
            <w:r>
              <w:rPr>
                <w:sz w:val="18"/>
                <w:szCs w:val="18"/>
              </w:rPr>
              <w:t xml:space="preserve">AMR-DE</w:t>
            </w:r>
          </w:p>
        </w:tc>
        <w:tc>
          <w:tcPr>
            <w:tcW w:type="dxa" w:w="766"/>
          </w:tcPr>
          <w:p>
            <w:pPr>
              <w:pStyle w:val="Compact"/>
              <w:jc w:val="center"/>
            </w:pPr>
            <w:r>
              <w:rPr>
                <w:sz w:val="18"/>
                <w:szCs w:val="18"/>
              </w:rPr>
              <w:t xml:space="preserve">EMR-CGC</w:t>
            </w:r>
          </w:p>
        </w:tc>
        <w:tc>
          <w:tcPr>
            <w:tcW w:type="dxa" w:w="766"/>
          </w:tcPr>
          <w:p>
            <w:pPr>
              <w:pStyle w:val="Compact"/>
              <w:jc w:val="center"/>
            </w:pPr>
            <w:r>
              <w:rPr>
                <w:b/>
                <w:bCs/>
                <w:sz w:val="18"/>
                <w:szCs w:val="18"/>
              </w:rPr>
              <w:t xml:space="preserve">DEAC</w:t>
            </w:r>
          </w:p>
        </w:tc>
      </w:tr>
      <w:tr>
        <w:tc>
          <w:tcPr>
            <w:tcW w:type="dxa" w:w="766"/>
          </w:tcPr>
          <w:p>
            <w:pPr>
              <w:pStyle w:val="Compact"/>
              <w:jc w:val="left"/>
            </w:pPr>
            <w:r>
              <w:rPr>
                <w:sz w:val="18"/>
                <w:szCs w:val="18"/>
              </w:rPr>
              <w:t xml:space="preserve">Wine</w:t>
            </w:r>
          </w:p>
        </w:tc>
        <w:tc>
          <w:tcPr>
            <w:tcW w:type="dxa" w:w="766"/>
          </w:tcPr>
          <w:p>
            <w:pPr>
              <w:pStyle w:val="Compact"/>
              <w:jc w:val="center"/>
            </w:pPr>
            <w:r>
              <w:rPr>
                <w:sz w:val="18"/>
                <w:szCs w:val="18"/>
              </w:rPr>
              <w:t xml:space="preserve">3</w:t>
            </w:r>
          </w:p>
        </w:tc>
        <w:tc>
          <w:tcPr>
            <w:tcW w:type="dxa" w:w="766"/>
          </w:tcPr>
          <w:p>
            <w:pPr>
              <w:pStyle w:val="Compact"/>
              <w:jc w:val="center"/>
            </w:pPr>
            <w:r>
              <w:rPr>
                <w:b/>
                <w:bCs/>
                <w:sz w:val="18"/>
                <w:szCs w:val="18"/>
              </w:rPr>
              <w:t xml:space="preserve">3</w:t>
            </w:r>
          </w:p>
        </w:tc>
        <w:tc>
          <w:tcPr>
            <w:tcW w:type="dxa" w:w="766"/>
          </w:tcPr>
          <w:p>
            <w:pPr>
              <w:pStyle w:val="Compact"/>
              <w:jc w:val="center"/>
            </w:pPr>
            <w:r>
              <w:rPr>
                <w:b/>
                <w:bCs/>
                <w:sz w:val="18"/>
                <w:szCs w:val="18"/>
              </w:rPr>
              <w:t xml:space="preserve">3</w:t>
            </w:r>
          </w:p>
        </w:tc>
        <w:tc>
          <w:tcPr>
            <w:tcW w:type="dxa" w:w="766"/>
          </w:tcPr>
          <w:p>
            <w:pPr>
              <w:pStyle w:val="Compact"/>
              <w:jc w:val="center"/>
            </w:pPr>
            <w:r>
              <w:rPr>
                <w:b/>
                <w:bCs/>
                <w:sz w:val="18"/>
                <w:szCs w:val="18"/>
              </w:rPr>
              <w:t xml:space="preserve">3</w:t>
            </w:r>
          </w:p>
        </w:tc>
        <w:tc>
          <w:tcPr>
            <w:tcW w:type="dxa" w:w="766"/>
          </w:tcPr>
          <w:p>
            <w:pPr>
              <w:pStyle w:val="Compact"/>
              <w:jc w:val="center"/>
            </w:pPr>
            <w:r>
              <w:rPr>
                <w:b/>
                <w:bCs/>
                <w:sz w:val="18"/>
                <w:szCs w:val="18"/>
              </w:rPr>
              <w:t xml:space="preserve">3</w:t>
            </w:r>
          </w:p>
        </w:tc>
      </w:tr>
      <w:tr>
        <w:tc>
          <w:tcPr>
            <w:tcW w:type="dxa" w:w="766"/>
          </w:tcPr>
          <w:p>
            <w:pPr>
              <w:pStyle w:val="Compact"/>
              <w:jc w:val="left"/>
            </w:pPr>
            <w:r>
              <w:rPr>
                <w:sz w:val="18"/>
                <w:szCs w:val="18"/>
              </w:rPr>
              <w:t xml:space="preserve">Glass</w:t>
            </w:r>
          </w:p>
        </w:tc>
        <w:tc>
          <w:tcPr>
            <w:tcW w:type="dxa" w:w="766"/>
          </w:tcPr>
          <w:p>
            <w:pPr>
              <w:pStyle w:val="Compact"/>
              <w:jc w:val="center"/>
            </w:pPr>
            <w:r>
              <w:rPr>
                <w:sz w:val="18"/>
                <w:szCs w:val="18"/>
              </w:rPr>
              <w:t xml:space="preserve">6</w:t>
            </w:r>
          </w:p>
        </w:tc>
        <w:tc>
          <w:tcPr>
            <w:tcW w:type="dxa" w:w="766"/>
          </w:tcPr>
          <w:p>
            <w:pPr>
              <w:pStyle w:val="Compact"/>
              <w:jc w:val="center"/>
            </w:pPr>
            <w:r>
              <w:rPr>
                <w:b/>
                <w:bCs/>
                <w:sz w:val="18"/>
                <w:szCs w:val="18"/>
              </w:rPr>
              <w:t xml:space="preserve">3</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9</w:t>
            </w:r>
          </w:p>
        </w:tc>
        <w:tc>
          <w:tcPr>
            <w:tcW w:type="dxa" w:w="766"/>
          </w:tcPr>
          <w:p>
            <w:pPr>
              <w:pStyle w:val="Compact"/>
              <w:jc w:val="center"/>
            </w:pPr>
            <w:r>
              <w:rPr>
                <w:sz w:val="18"/>
                <w:szCs w:val="18"/>
              </w:rPr>
              <w:t xml:space="preserve">9</w:t>
            </w:r>
          </w:p>
        </w:tc>
      </w:tr>
      <w:tr>
        <w:tc>
          <w:tcPr>
            <w:tcW w:type="dxa" w:w="766"/>
          </w:tcPr>
          <w:p>
            <w:pPr>
              <w:pStyle w:val="Compact"/>
              <w:jc w:val="left"/>
            </w:pPr>
            <w:r>
              <w:rPr>
                <w:sz w:val="18"/>
                <w:szCs w:val="18"/>
              </w:rPr>
              <w:t xml:space="preserve">Olivetti</w:t>
            </w:r>
          </w:p>
        </w:tc>
        <w:tc>
          <w:tcPr>
            <w:tcW w:type="dxa" w:w="766"/>
          </w:tcPr>
          <w:p>
            <w:pPr>
              <w:pStyle w:val="Compact"/>
              <w:jc w:val="center"/>
            </w:pPr>
            <w:r>
              <w:rPr>
                <w:sz w:val="18"/>
                <w:szCs w:val="18"/>
              </w:rPr>
              <w:t xml:space="preserve">40</w:t>
            </w:r>
          </w:p>
        </w:tc>
        <w:tc>
          <w:tcPr>
            <w:tcW w:type="dxa" w:w="766"/>
          </w:tcPr>
          <w:p>
            <w:pPr>
              <w:pStyle w:val="Compact"/>
              <w:jc w:val="center"/>
            </w:pPr>
            <w:r>
              <w:rPr>
                <w:sz w:val="18"/>
                <w:szCs w:val="18"/>
              </w:rPr>
              <w:t xml:space="preserve">5</w:t>
            </w:r>
          </w:p>
        </w:tc>
        <w:tc>
          <w:tcPr>
            <w:tcW w:type="dxa" w:w="766"/>
          </w:tcPr>
          <w:p>
            <w:pPr>
              <w:pStyle w:val="Compact"/>
              <w:jc w:val="center"/>
            </w:pPr>
            <w:r>
              <w:rPr>
                <w:sz w:val="18"/>
                <w:szCs w:val="18"/>
              </w:rPr>
              <w:t xml:space="preserve">13</w:t>
            </w:r>
          </w:p>
        </w:tc>
        <w:tc>
          <w:tcPr>
            <w:tcW w:type="dxa" w:w="766"/>
          </w:tcPr>
          <w:p>
            <w:pPr>
              <w:pStyle w:val="Compact"/>
              <w:jc w:val="center"/>
            </w:pPr>
            <w:r>
              <w:rPr>
                <w:b/>
                <w:bCs/>
                <w:sz w:val="18"/>
                <w:szCs w:val="18"/>
              </w:rPr>
              <w:t xml:space="preserve">19</w:t>
            </w:r>
          </w:p>
        </w:tc>
        <w:tc>
          <w:tcPr>
            <w:tcW w:type="dxa" w:w="766"/>
          </w:tcPr>
          <w:p>
            <w:pPr>
              <w:pStyle w:val="Compact"/>
              <w:jc w:val="center"/>
            </w:pPr>
            <w:r>
              <w:rPr>
                <w:sz w:val="18"/>
                <w:szCs w:val="18"/>
              </w:rPr>
              <w:t xml:space="preserve">13</w:t>
            </w:r>
          </w:p>
        </w:tc>
      </w:tr>
      <w:tr>
        <w:tc>
          <w:tcPr>
            <w:tcW w:type="dxa" w:w="766"/>
          </w:tcPr>
          <w:p>
            <w:pPr>
              <w:pStyle w:val="Compact"/>
              <w:jc w:val="left"/>
            </w:pPr>
            <w:r>
              <w:rPr>
                <w:sz w:val="18"/>
                <w:szCs w:val="18"/>
              </w:rPr>
              <w:t xml:space="preserve">CNAE-9</w:t>
            </w:r>
          </w:p>
        </w:tc>
        <w:tc>
          <w:tcPr>
            <w:tcW w:type="dxa" w:w="766"/>
          </w:tcPr>
          <w:p>
            <w:pPr>
              <w:pStyle w:val="Compact"/>
              <w:jc w:val="center"/>
            </w:pPr>
            <w:r>
              <w:rPr>
                <w:sz w:val="18"/>
                <w:szCs w:val="18"/>
              </w:rPr>
              <w:t xml:space="preserve">9</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15</w:t>
            </w:r>
          </w:p>
        </w:tc>
        <w:tc>
          <w:tcPr>
            <w:tcW w:type="dxa" w:w="766"/>
          </w:tcPr>
          <w:p>
            <w:pPr>
              <w:pStyle w:val="Compact"/>
              <w:jc w:val="center"/>
            </w:pPr>
            <w:r>
              <w:rPr>
                <w:b/>
                <w:bCs/>
                <w:sz w:val="18"/>
                <w:szCs w:val="18"/>
              </w:rPr>
              <w:t xml:space="preserve">9</w:t>
            </w:r>
          </w:p>
        </w:tc>
        <w:tc>
          <w:tcPr>
            <w:tcW w:type="dxa" w:w="766"/>
          </w:tcPr>
          <w:p>
            <w:pPr>
              <w:pStyle w:val="Compact"/>
              <w:jc w:val="center"/>
            </w:pPr>
            <w:r>
              <w:rPr>
                <w:sz w:val="18"/>
                <w:szCs w:val="18"/>
              </w:rPr>
              <w:t xml:space="preserve">10</w:t>
            </w:r>
          </w:p>
        </w:tc>
      </w:tr>
      <w:tr>
        <w:tc>
          <w:tcPr>
            <w:tcW w:type="dxa" w:w="766"/>
          </w:tcPr>
          <w:p>
            <w:pPr>
              <w:pStyle w:val="Compact"/>
              <w:jc w:val="left"/>
            </w:pPr>
            <w:r>
              <w:rPr>
                <w:sz w:val="18"/>
                <w:szCs w:val="18"/>
              </w:rPr>
              <w:t xml:space="preserve">COIL-20</w:t>
            </w:r>
          </w:p>
        </w:tc>
        <w:tc>
          <w:tcPr>
            <w:tcW w:type="dxa" w:w="766"/>
          </w:tcPr>
          <w:p>
            <w:pPr>
              <w:pStyle w:val="Compact"/>
              <w:jc w:val="center"/>
            </w:pPr>
            <w:r>
              <w:rPr>
                <w:sz w:val="18"/>
                <w:szCs w:val="18"/>
              </w:rPr>
              <w:t xml:space="preserve">20</w:t>
            </w:r>
          </w:p>
        </w:tc>
        <w:tc>
          <w:tcPr>
            <w:tcW w:type="dxa" w:w="766"/>
          </w:tcPr>
          <w:p>
            <w:pPr>
              <w:pStyle w:val="Compact"/>
              <w:jc w:val="center"/>
            </w:pPr>
            <w:r>
              <w:rPr>
                <w:sz w:val="18"/>
                <w:szCs w:val="18"/>
              </w:rPr>
              <w:t xml:space="preserve">15</w:t>
            </w:r>
          </w:p>
        </w:tc>
        <w:tc>
          <w:tcPr>
            <w:tcW w:type="dxa" w:w="766"/>
          </w:tcPr>
          <w:p>
            <w:pPr>
              <w:pStyle w:val="Compact"/>
              <w:jc w:val="center"/>
            </w:pPr>
            <w:r>
              <w:rPr>
                <w:b/>
                <w:bCs/>
                <w:sz w:val="18"/>
                <w:szCs w:val="18"/>
              </w:rPr>
              <w:t xml:space="preserve">21</w:t>
            </w:r>
          </w:p>
        </w:tc>
        <w:tc>
          <w:tcPr>
            <w:tcW w:type="dxa" w:w="766"/>
          </w:tcPr>
          <w:p>
            <w:pPr>
              <w:pStyle w:val="Compact"/>
              <w:jc w:val="center"/>
            </w:pPr>
            <w:r>
              <w:rPr>
                <w:sz w:val="18"/>
                <w:szCs w:val="18"/>
              </w:rPr>
              <w:t xml:space="preserve">16</w:t>
            </w:r>
          </w:p>
        </w:tc>
        <w:tc>
          <w:tcPr>
            <w:tcW w:type="dxa" w:w="766"/>
          </w:tcPr>
          <w:p>
            <w:pPr>
              <w:pStyle w:val="Compact"/>
              <w:jc w:val="center"/>
            </w:pPr>
            <w:r>
              <w:rPr>
                <w:sz w:val="18"/>
                <w:szCs w:val="18"/>
              </w:rPr>
              <w:t xml:space="preserve">16</w:t>
            </w:r>
          </w:p>
        </w:tc>
      </w:tr>
      <w:tr>
        <w:tc>
          <w:tcPr>
            <w:tcW w:type="dxa" w:w="766"/>
          </w:tcPr>
          <w:p>
            <w:pPr>
              <w:pStyle w:val="Compact"/>
              <w:jc w:val="left"/>
            </w:pPr>
            <w:r>
              <w:rPr>
                <w:sz w:val="18"/>
                <w:szCs w:val="18"/>
              </w:rPr>
              <w:t xml:space="preserve">Optdigits</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13</w:t>
            </w:r>
          </w:p>
        </w:tc>
        <w:tc>
          <w:tcPr>
            <w:tcW w:type="dxa" w:w="766"/>
          </w:tcPr>
          <w:p>
            <w:pPr>
              <w:pStyle w:val="Compact"/>
              <w:jc w:val="center"/>
            </w:pPr>
            <w:r>
              <w:rPr>
                <w:sz w:val="18"/>
                <w:szCs w:val="18"/>
              </w:rPr>
              <w:t xml:space="preserve">14</w:t>
            </w:r>
          </w:p>
        </w:tc>
        <w:tc>
          <w:tcPr>
            <w:tcW w:type="dxa" w:w="766"/>
          </w:tcPr>
          <w:p>
            <w:pPr>
              <w:pStyle w:val="Compact"/>
              <w:jc w:val="center"/>
            </w:pPr>
            <w:r>
              <w:rPr>
                <w:b/>
                <w:bCs/>
                <w:sz w:val="18"/>
                <w:szCs w:val="18"/>
              </w:rPr>
              <w:t xml:space="preserve">11</w:t>
            </w:r>
          </w:p>
        </w:tc>
        <w:tc>
          <w:tcPr>
            <w:tcW w:type="dxa" w:w="766"/>
          </w:tcPr>
          <w:p>
            <w:pPr>
              <w:pStyle w:val="Compact"/>
              <w:jc w:val="center"/>
            </w:pPr>
            <w:r>
              <w:rPr>
                <w:b/>
                <w:bCs/>
                <w:sz w:val="18"/>
                <w:szCs w:val="18"/>
              </w:rPr>
              <w:t xml:space="preserve">11</w:t>
            </w:r>
          </w:p>
        </w:tc>
      </w:tr>
      <w:tr>
        <w:tc>
          <w:tcPr>
            <w:tcW w:type="dxa" w:w="766"/>
          </w:tcPr>
          <w:p>
            <w:pPr>
              <w:pStyle w:val="Compact"/>
              <w:jc w:val="left"/>
            </w:pPr>
            <w:r>
              <w:rPr>
                <w:sz w:val="18"/>
                <w:szCs w:val="18"/>
              </w:rPr>
              <w:t xml:space="preserve">MFeat</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12</w:t>
            </w:r>
          </w:p>
        </w:tc>
        <w:tc>
          <w:tcPr>
            <w:tcW w:type="dxa" w:w="766"/>
          </w:tcPr>
          <w:p>
            <w:pPr>
              <w:pStyle w:val="Compact"/>
              <w:jc w:val="center"/>
            </w:pPr>
            <w:r>
              <w:rPr>
                <w:sz w:val="18"/>
                <w:szCs w:val="18"/>
              </w:rPr>
              <w:t xml:space="preserve">12</w:t>
            </w:r>
          </w:p>
        </w:tc>
        <w:tc>
          <w:tcPr>
            <w:tcW w:type="dxa" w:w="766"/>
          </w:tcPr>
          <w:p>
            <w:pPr>
              <w:pStyle w:val="Compact"/>
              <w:jc w:val="center"/>
            </w:pPr>
            <w:r>
              <w:rPr>
                <w:b/>
                <w:bCs/>
                <w:sz w:val="18"/>
                <w:szCs w:val="18"/>
              </w:rPr>
              <w:t xml:space="preserve">10</w:t>
            </w:r>
          </w:p>
        </w:tc>
        <w:tc>
          <w:tcPr>
            <w:tcW w:type="dxa" w:w="766"/>
          </w:tcPr>
          <w:p>
            <w:pPr>
              <w:pStyle w:val="Compact"/>
              <w:jc w:val="center"/>
            </w:pPr>
            <w:r>
              <w:rPr>
                <w:b/>
                <w:bCs/>
                <w:sz w:val="18"/>
                <w:szCs w:val="18"/>
              </w:rPr>
              <w:t xml:space="preserve">10</w:t>
            </w:r>
          </w:p>
        </w:tc>
      </w:tr>
      <w:tr>
        <w:tc>
          <w:tcPr>
            <w:tcW w:type="dxa" w:w="766"/>
          </w:tcPr>
          <w:p>
            <w:pPr>
              <w:pStyle w:val="Compact"/>
              <w:jc w:val="left"/>
            </w:pPr>
            <w:r>
              <w:rPr>
                <w:sz w:val="18"/>
                <w:szCs w:val="18"/>
              </w:rPr>
              <w:t xml:space="preserve">Segment.</w:t>
            </w:r>
          </w:p>
        </w:tc>
        <w:tc>
          <w:tcPr>
            <w:tcW w:type="dxa" w:w="766"/>
          </w:tcPr>
          <w:p>
            <w:pPr>
              <w:pStyle w:val="Compact"/>
              <w:jc w:val="center"/>
            </w:pPr>
            <w:r>
              <w:rPr>
                <w:sz w:val="18"/>
                <w:szCs w:val="18"/>
              </w:rPr>
              <w:t xml:space="preserve">7</w:t>
            </w:r>
          </w:p>
        </w:tc>
        <w:tc>
          <w:tcPr>
            <w:tcW w:type="dxa" w:w="766"/>
          </w:tcPr>
          <w:p>
            <w:pPr>
              <w:pStyle w:val="Compact"/>
              <w:jc w:val="center"/>
            </w:pPr>
            <w:r>
              <w:rPr>
                <w:sz w:val="18"/>
                <w:szCs w:val="18"/>
              </w:rPr>
              <w:t xml:space="preserve">21</w:t>
            </w:r>
          </w:p>
        </w:tc>
        <w:tc>
          <w:tcPr>
            <w:tcW w:type="dxa" w:w="766"/>
          </w:tcPr>
          <w:p>
            <w:pPr>
              <w:pStyle w:val="Compact"/>
              <w:jc w:val="center"/>
            </w:pPr>
            <w:r>
              <w:rPr>
                <w:sz w:val="18"/>
                <w:szCs w:val="18"/>
              </w:rPr>
              <w:t xml:space="preserve">28</w:t>
            </w:r>
          </w:p>
        </w:tc>
        <w:tc>
          <w:tcPr>
            <w:tcW w:type="dxa" w:w="766"/>
          </w:tcPr>
          <w:p>
            <w:pPr>
              <w:pStyle w:val="Compact"/>
              <w:jc w:val="center"/>
            </w:pPr>
            <w:r>
              <w:rPr>
                <w:sz w:val="18"/>
                <w:szCs w:val="18"/>
              </w:rPr>
              <w:t xml:space="preserve">23</w:t>
            </w:r>
          </w:p>
        </w:tc>
        <w:tc>
          <w:tcPr>
            <w:tcW w:type="dxa" w:w="766"/>
          </w:tcPr>
          <w:p>
            <w:pPr>
              <w:pStyle w:val="Compact"/>
              <w:jc w:val="center"/>
            </w:pPr>
            <w:r>
              <w:rPr>
                <w:b/>
                <w:bCs/>
                <w:sz w:val="18"/>
                <w:szCs w:val="18"/>
              </w:rPr>
              <w:t xml:space="preserve">21</w:t>
            </w:r>
          </w:p>
        </w:tc>
      </w:tr>
      <w:tr>
        <w:tc>
          <w:tcPr>
            <w:tcW w:type="dxa" w:w="766"/>
          </w:tcPr>
          <w:p>
            <w:pPr>
              <w:pStyle w:val="Compact"/>
              <w:jc w:val="left"/>
            </w:pPr>
            <w:r>
              <w:rPr>
                <w:sz w:val="18"/>
                <w:szCs w:val="18"/>
              </w:rPr>
              <w:t xml:space="preserve">ISOLET</w:t>
            </w:r>
          </w:p>
        </w:tc>
        <w:tc>
          <w:tcPr>
            <w:tcW w:type="dxa" w:w="766"/>
          </w:tcPr>
          <w:p>
            <w:pPr>
              <w:pStyle w:val="Compact"/>
              <w:jc w:val="center"/>
            </w:pPr>
            <w:r>
              <w:rPr>
                <w:sz w:val="18"/>
                <w:szCs w:val="18"/>
              </w:rPr>
              <w:t xml:space="preserve">26</w:t>
            </w:r>
          </w:p>
        </w:tc>
        <w:tc>
          <w:tcPr>
            <w:tcW w:type="dxa" w:w="766"/>
          </w:tcPr>
          <w:p>
            <w:pPr>
              <w:pStyle w:val="Compact"/>
              <w:jc w:val="center"/>
            </w:pPr>
            <w:r>
              <w:rPr>
                <w:b/>
                <w:bCs/>
                <w:sz w:val="18"/>
                <w:szCs w:val="18"/>
              </w:rPr>
              <w:t xml:space="preserve">23</w:t>
            </w:r>
          </w:p>
        </w:tc>
        <w:tc>
          <w:tcPr>
            <w:tcW w:type="dxa" w:w="766"/>
          </w:tcPr>
          <w:p>
            <w:pPr>
              <w:pStyle w:val="Compact"/>
              <w:jc w:val="center"/>
            </w:pPr>
            <w:r>
              <w:rPr>
                <w:sz w:val="18"/>
                <w:szCs w:val="18"/>
              </w:rPr>
              <w:t xml:space="preserve">32</w:t>
            </w:r>
          </w:p>
        </w:tc>
        <w:tc>
          <w:tcPr>
            <w:tcW w:type="dxa" w:w="766"/>
          </w:tcPr>
          <w:p>
            <w:pPr>
              <w:pStyle w:val="Compact"/>
              <w:jc w:val="center"/>
            </w:pPr>
            <w:r>
              <w:rPr>
                <w:sz w:val="18"/>
                <w:szCs w:val="18"/>
              </w:rPr>
              <w:t xml:space="preserve">22</w:t>
            </w:r>
          </w:p>
        </w:tc>
        <w:tc>
          <w:tcPr>
            <w:tcW w:type="dxa" w:w="766"/>
          </w:tcPr>
          <w:p>
            <w:pPr>
              <w:pStyle w:val="Compact"/>
              <w:jc w:val="center"/>
            </w:pPr>
            <w:r>
              <w:rPr>
                <w:sz w:val="18"/>
                <w:szCs w:val="18"/>
              </w:rPr>
              <w:t xml:space="preserve">22</w:t>
            </w:r>
          </w:p>
        </w:tc>
      </w:tr>
      <w:tr>
        <w:tc>
          <w:tcPr>
            <w:tcW w:type="dxa" w:w="766"/>
          </w:tcPr>
          <w:p>
            <w:pPr>
              <w:pStyle w:val="Compact"/>
              <w:jc w:val="left"/>
            </w:pPr>
            <w:r>
              <w:rPr>
                <w:sz w:val="18"/>
                <w:szCs w:val="18"/>
              </w:rPr>
              <w:t xml:space="preserve">Satimage</w:t>
            </w:r>
          </w:p>
        </w:tc>
        <w:tc>
          <w:tcPr>
            <w:tcW w:type="dxa" w:w="766"/>
          </w:tcPr>
          <w:p>
            <w:pPr>
              <w:pStyle w:val="Compact"/>
              <w:jc w:val="center"/>
            </w:pPr>
            <w:r>
              <w:rPr>
                <w:sz w:val="18"/>
                <w:szCs w:val="18"/>
              </w:rPr>
              <w:t xml:space="preserve">6</w:t>
            </w:r>
          </w:p>
        </w:tc>
        <w:tc>
          <w:tcPr>
            <w:tcW w:type="dxa" w:w="766"/>
          </w:tcPr>
          <w:p>
            <w:pPr>
              <w:pStyle w:val="Compact"/>
              <w:jc w:val="center"/>
            </w:pPr>
            <w:r>
              <w:rPr>
                <w:sz w:val="18"/>
                <w:szCs w:val="18"/>
              </w:rPr>
              <w:t xml:space="preserve">13</w:t>
            </w:r>
          </w:p>
        </w:tc>
        <w:tc>
          <w:tcPr>
            <w:tcW w:type="dxa" w:w="766"/>
          </w:tcPr>
          <w:p>
            <w:pPr>
              <w:pStyle w:val="Compact"/>
              <w:jc w:val="center"/>
            </w:pPr>
            <w:r>
              <w:rPr>
                <w:sz w:val="18"/>
                <w:szCs w:val="18"/>
              </w:rPr>
              <w:t xml:space="preserve">29</w:t>
            </w:r>
          </w:p>
        </w:tc>
        <w:tc>
          <w:tcPr>
            <w:tcW w:type="dxa" w:w="766"/>
          </w:tcPr>
          <w:p>
            <w:pPr>
              <w:pStyle w:val="Compact"/>
              <w:jc w:val="center"/>
            </w:pPr>
            <w:r>
              <w:rPr>
                <w:b/>
                <w:bCs/>
                <w:sz w:val="18"/>
                <w:szCs w:val="18"/>
              </w:rPr>
              <w:t xml:space="preserve">10</w:t>
            </w:r>
          </w:p>
        </w:tc>
        <w:tc>
          <w:tcPr>
            <w:tcW w:type="dxa" w:w="766"/>
          </w:tcPr>
          <w:p>
            <w:pPr>
              <w:pStyle w:val="Compact"/>
              <w:jc w:val="center"/>
            </w:pPr>
            <w:r>
              <w:rPr>
                <w:b/>
                <w:bCs/>
                <w:sz w:val="18"/>
                <w:szCs w:val="18"/>
              </w:rPr>
              <w:t xml:space="preserve">10</w:t>
            </w:r>
          </w:p>
        </w:tc>
      </w:tr>
      <w:tr>
        <w:tc>
          <w:tcPr>
            <w:tcW w:type="dxa" w:w="766"/>
          </w:tcPr>
          <w:p>
            <w:pPr>
              <w:pStyle w:val="Compact"/>
              <w:jc w:val="left"/>
            </w:pPr>
            <w:r>
              <w:rPr>
                <w:sz w:val="18"/>
                <w:szCs w:val="18"/>
              </w:rPr>
              <w:t xml:space="preserve">USPS</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11</w:t>
            </w:r>
          </w:p>
        </w:tc>
        <w:tc>
          <w:tcPr>
            <w:tcW w:type="dxa" w:w="766"/>
          </w:tcPr>
          <w:p>
            <w:pPr>
              <w:pStyle w:val="Compact"/>
              <w:jc w:val="center"/>
            </w:pPr>
            <w:r>
              <w:rPr>
                <w:sz w:val="18"/>
                <w:szCs w:val="18"/>
              </w:rPr>
              <w:t xml:space="preserve">19</w:t>
            </w:r>
          </w:p>
        </w:tc>
        <w:tc>
          <w:tcPr>
            <w:tcW w:type="dxa" w:w="766"/>
          </w:tcPr>
          <w:p>
            <w:pPr>
              <w:pStyle w:val="Compact"/>
              <w:jc w:val="center"/>
            </w:pPr>
            <w:r>
              <w:rPr>
                <w:b/>
                <w:bCs/>
                <w:sz w:val="18"/>
                <w:szCs w:val="18"/>
              </w:rPr>
              <w:t xml:space="preserve">10</w:t>
            </w:r>
          </w:p>
        </w:tc>
        <w:tc>
          <w:tcPr>
            <w:tcW w:type="dxa" w:w="766"/>
          </w:tcPr>
          <w:p>
            <w:pPr>
              <w:pStyle w:val="Compact"/>
              <w:jc w:val="center"/>
            </w:pPr>
            <w:r>
              <w:rPr>
                <w:sz w:val="18"/>
                <w:szCs w:val="18"/>
              </w:rPr>
              <w:t xml:space="preserve">11</w:t>
            </w:r>
          </w:p>
        </w:tc>
      </w:tr>
      <w:tr>
        <w:tc>
          <w:tcPr>
            <w:tcW w:type="dxa" w:w="766"/>
          </w:tcPr>
          <w:p>
            <w:pPr>
              <w:pStyle w:val="Compact"/>
              <w:jc w:val="left"/>
            </w:pPr>
            <w:r>
              <w:rPr>
                <w:sz w:val="18"/>
                <w:szCs w:val="18"/>
              </w:rPr>
              <w:t xml:space="preserve">PenDigits</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26</w:t>
            </w:r>
          </w:p>
        </w:tc>
        <w:tc>
          <w:tcPr>
            <w:tcW w:type="dxa" w:w="766"/>
          </w:tcPr>
          <w:p>
            <w:pPr>
              <w:pStyle w:val="Compact"/>
              <w:jc w:val="center"/>
            </w:pPr>
            <w:r>
              <w:rPr>
                <w:sz w:val="18"/>
                <w:szCs w:val="18"/>
              </w:rPr>
              <w:t xml:space="preserve">34</w:t>
            </w:r>
          </w:p>
        </w:tc>
        <w:tc>
          <w:tcPr>
            <w:tcW w:type="dxa" w:w="766"/>
          </w:tcPr>
          <w:p>
            <w:pPr>
              <w:pStyle w:val="Compact"/>
              <w:jc w:val="center"/>
            </w:pPr>
            <w:r>
              <w:rPr>
                <w:b/>
                <w:bCs/>
                <w:sz w:val="18"/>
                <w:szCs w:val="18"/>
              </w:rPr>
              <w:t xml:space="preserve">20</w:t>
            </w:r>
          </w:p>
        </w:tc>
        <w:tc>
          <w:tcPr>
            <w:tcW w:type="dxa" w:w="766"/>
          </w:tcPr>
          <w:p>
            <w:pPr>
              <w:pStyle w:val="Compact"/>
              <w:jc w:val="center"/>
            </w:pPr>
            <w:r>
              <w:rPr>
                <w:sz w:val="18"/>
                <w:szCs w:val="18"/>
              </w:rPr>
              <w:t xml:space="preserve">21</w:t>
            </w:r>
          </w:p>
        </w:tc>
      </w:tr>
      <w:tr>
        <w:tc>
          <w:tcPr>
            <w:tcW w:type="dxa" w:w="766"/>
          </w:tcPr>
          <w:p>
            <w:pPr>
              <w:pStyle w:val="Compact"/>
              <w:jc w:val="left"/>
            </w:pPr>
            <w:r>
              <w:rPr>
                <w:b/>
                <w:bCs/>
                <w:sz w:val="18"/>
                <w:szCs w:val="18"/>
              </w:rPr>
              <w:t xml:space="preserve">MAE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7.53</w:t>
            </w:r>
          </w:p>
        </w:tc>
        <w:tc>
          <w:tcPr>
            <w:tcW w:type="dxa" w:w="766"/>
          </w:tcPr>
          <w:p>
            <w:pPr>
              <w:pStyle w:val="Compact"/>
              <w:jc w:val="center"/>
            </w:pPr>
            <w:r>
              <w:rPr>
                <w:sz w:val="18"/>
                <w:szCs w:val="18"/>
              </w:rPr>
              <w:t xml:space="preserve">10.57</w:t>
            </w:r>
          </w:p>
        </w:tc>
        <w:tc>
          <w:tcPr>
            <w:tcW w:type="dxa" w:w="766"/>
          </w:tcPr>
          <w:p>
            <w:pPr>
              <w:pStyle w:val="Compact"/>
              <w:jc w:val="center"/>
            </w:pPr>
            <w:r>
              <w:rPr>
                <w:sz w:val="18"/>
                <w:szCs w:val="18"/>
              </w:rPr>
              <w:t xml:space="preserve">5.25</w:t>
            </w:r>
          </w:p>
        </w:tc>
        <w:tc>
          <w:tcPr>
            <w:tcW w:type="dxa" w:w="766"/>
          </w:tcPr>
          <w:p>
            <w:pPr>
              <w:pStyle w:val="Compact"/>
              <w:jc w:val="center"/>
            </w:pPr>
            <w:r>
              <w:rPr>
                <w:sz w:val="18"/>
                <w:szCs w:val="18"/>
              </w:rPr>
              <w:t xml:space="preserve">5.77</w:t>
            </w:r>
          </w:p>
        </w:tc>
      </w:tr>
      <w:tr>
        <w:tc>
          <w:tcPr>
            <w:tcW w:type="dxa" w:w="766"/>
          </w:tcPr>
          <w:p>
            <w:pPr>
              <w:pStyle w:val="Compact"/>
              <w:jc w:val="left"/>
            </w:pPr>
            <w:r>
              <w:rPr>
                <w:b/>
                <w:bCs/>
                <w:sz w:val="18"/>
                <w:szCs w:val="18"/>
              </w:rPr>
              <w:t xml:space="preserve">Exact</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1/12</w:t>
            </w:r>
          </w:p>
        </w:tc>
        <w:tc>
          <w:tcPr>
            <w:tcW w:type="dxa" w:w="766"/>
          </w:tcPr>
          <w:p>
            <w:pPr>
              <w:pStyle w:val="Compact"/>
              <w:jc w:val="center"/>
            </w:pPr>
            <w:r>
              <w:rPr>
                <w:sz w:val="18"/>
                <w:szCs w:val="18"/>
              </w:rPr>
              <w:t xml:space="preserve">1/12</w:t>
            </w:r>
          </w:p>
        </w:tc>
        <w:tc>
          <w:tcPr>
            <w:tcW w:type="dxa" w:w="766"/>
          </w:tcPr>
          <w:p>
            <w:pPr>
              <w:pStyle w:val="Compact"/>
              <w:jc w:val="center"/>
            </w:pPr>
            <w:r>
              <w:rPr>
                <w:sz w:val="18"/>
                <w:szCs w:val="18"/>
              </w:rPr>
              <w:t xml:space="preserve">4/12</w:t>
            </w:r>
          </w:p>
        </w:tc>
        <w:tc>
          <w:tcPr>
            <w:tcW w:type="dxa" w:w="766"/>
          </w:tcPr>
          <w:p>
            <w:pPr>
              <w:pStyle w:val="Compact"/>
              <w:jc w:val="center"/>
            </w:pPr>
            <w:r>
              <w:rPr>
                <w:sz w:val="18"/>
                <w:szCs w:val="18"/>
              </w:rPr>
              <w:t xml:space="preserve">2/12</w:t>
            </w:r>
          </w:p>
        </w:tc>
      </w:tr>
    </w:tbl>
    <w:bookmarkEnd w:id="78"/>
    <w:bookmarkStart w:id="82" w:name="fig:metric_bars_4way"/>
    <w:p>
      <w:pPr>
        <w:pStyle w:val="CaptionedFigure"/>
      </w:pPr>
      <w:r>
        <w:drawing>
          <wp:inline>
            <wp:extent cx="2842895" cy="2840225"/>
            <wp:effectExtent b="0" l="0" r="0" t="0"/>
            <wp:docPr descr="" title="" id="80" name="Picture"/>
            <a:graphic>
              <a:graphicData uri="http://schemas.openxmlformats.org/drawingml/2006/picture">
                <pic:pic>
                  <pic:nvPicPr>
                    <pic:cNvPr descr="figures/cross_dataset/metric_bars_4way.png" id="81" name="Picture"/>
                    <pic:cNvPicPr>
                      <a:picLocks noChangeArrowheads="1" noChangeAspect="1"/>
                    </pic:cNvPicPr>
                  </pic:nvPicPr>
                  <pic:blipFill>
                    <a:blip r:embed="rId79"/>
                    <a:stretch>
                      <a:fillRect/>
                    </a:stretch>
                  </pic:blipFill>
                  <pic:spPr bwMode="auto">
                    <a:xfrm>
                      <a:off x="0" y="0"/>
                      <a:ext cx="2842895" cy="2840225"/>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7. </w:t>
      </w:r>
      <w:r>
        <w:rPr>
          <w:rFonts w:ascii="Times New Roman" w:hAnsi="Times New Roman" w:cs="Times New Roman"/>
          <w:color w:val="000000"/>
          <w:sz w:val="20"/>
        </w:rPr>
        <w:t xml:space="preserve">Per-dataset comparison of ARI, NMI, and ACC across the four configurations (Baseline, AMR-DE, EMR-CGC, DEAC). Grouped bars make the per-dataset ranking readable; the deployable gate (DEAC) tracks the strongest engine across all three indices without dominating.</w:t>
      </w:r>
    </w:p>
    <w:bookmarkEnd w:id="82"/>
    <w:bookmarkStart w:id="86" w:name="fig:radar_4way"/>
    <w:p>
      <w:pPr>
        <w:pStyle w:val="CaptionedFigure"/>
      </w:pPr>
      <w:r>
        <w:drawing>
          <wp:inline>
            <wp:extent cx="2842895" cy="2684600"/>
            <wp:effectExtent b="0" l="0" r="0" t="0"/>
            <wp:docPr descr="" title="" id="84" name="Picture"/>
            <a:graphic>
              <a:graphicData uri="http://schemas.openxmlformats.org/drawingml/2006/picture">
                <pic:pic>
                  <pic:nvPicPr>
                    <pic:cNvPr descr="figures/cross_dataset/radar_4way.png" id="85" name="Picture"/>
                    <pic:cNvPicPr>
                      <a:picLocks noChangeArrowheads="1" noChangeAspect="1"/>
                    </pic:cNvPicPr>
                  </pic:nvPicPr>
                  <pic:blipFill>
                    <a:blip r:embed="rId83"/>
                    <a:stretch>
                      <a:fillRect/>
                    </a:stretch>
                  </pic:blipFill>
                  <pic:spPr bwMode="auto">
                    <a:xfrm>
                      <a:off x="0" y="0"/>
                      <a:ext cx="2842895" cy="2684600"/>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8. </w:t>
      </w:r>
      <w:r>
        <w:rPr>
          <w:rFonts w:ascii="Times New Roman" w:hAnsi="Times New Roman" w:cs="Times New Roman"/>
          <w:color w:val="000000"/>
          <w:sz w:val="20"/>
        </w:rPr>
        <w:t xml:space="preserve">Multi-axis comparison on four axes: ARI, NMI, ACC (external accuracy) and C-acc (an inverse normalised cluster-count error). The deployable gate (DEAC) tracks EMR-CGC on the external axes but is weaker on C-acc, reflecting its limited label-free cluster-count recovery.</w:t>
      </w:r>
    </w:p>
    <w:bookmarkEnd w:id="86"/>
    <w:bookmarkEnd w:id="87"/>
    <w:bookmarkStart w:id="89" w:name="statistical-significance"/>
    <w:p>
      <w:pPr>
        <w:pStyle w:val="Heading2"/>
        <w:jc w:val="left"/>
      </w:pPr>
      <w:r>
        <w:rPr>
          <w:rFonts w:ascii="Times New Roman" w:hAnsi="Times New Roman" w:cs="Times New Roman"/>
          <w:b/>
          <w:color w:val="C00000"/>
          <w:sz w:val="22"/>
        </w:rPr>
        <w:t>Statistical Significance</w:t>
      </w:r>
    </w:p>
    <w:p>
      <w:pPr>
        <w:pStyle w:val="FirstParagraph"/>
        <w:spacing w:before="0" w:after="0" w:line="240" w:lineRule="auto"/>
        <w:ind w:firstLine="330"/>
        <w:jc w:val="both"/>
      </w:pPr>
      <w:r>
        <w:rPr>
          <w:color w:val="C00000"/>
        </w:rPr>
        <w:t xml:space="preserve">We test the</w:t>
      </w:r>
      <w:r>
        <w:rPr>
          <w:color w:val="C00000"/>
        </w:rPr>
        <w:t xml:space="preserve"> </w:t>
      </w:r>
      <w:r>
        <w:rPr>
          <w:i/>
          <w:iCs/>
          <w:color w:val="C00000"/>
        </w:rPr>
        <w:t xml:space="preserve">deployable</w:t>
      </w:r>
      <w:r>
        <w:rPr>
          <w:color w:val="C00000"/>
        </w:rPr>
        <w:t xml:space="preserve"> </w:t>
      </w:r>
      <w:r>
        <w:rPr>
          <w:color w:val="C00000"/>
        </w:rPr>
        <w:t xml:space="preserve">DEAC gate against the nine independent competitors—five classical (auto-</w:t>
      </w:r>
      <m:oMath>
        <m:r>
          <m:t>C</m:t>
        </m:r>
      </m:oMath>
      <w:r>
        <w:rPr>
          <w:color w:val="C00000"/>
        </w:rPr>
        <w:t xml:space="preserve"> </w:t>
      </w:r>
      <w:r>
        <w:rPr>
          <w:color w:val="C00000"/>
        </w:rPr>
        <w:t xml:space="preserve">protocol of §</w:t>
      </w:r>
      <w:hyperlink w:anchor="sec:exp">
        <w:r>
          <w:rPr>
            <w:rStyle w:val="Hyperlink"/>
          </w:rPr>
          <w:t xml:space="preserve">4</w:t>
        </w:r>
      </w:hyperlink>
      <w:r>
        <w:rPr>
          <w:color w:val="C00000"/>
        </w:rPr>
        <w:t xml:space="preserve">) and four deep—with two-tailed Wilcoxon signed-rank tests and Holm–Bonferroni correction over the family of nine (Table </w:t>
      </w:r>
      <w:hyperlink w:anchor="tab:stats">
        <w:r>
          <w:rPr>
            <w:rStyle w:val="Hyperlink"/>
          </w:rPr>
          <w:t xml:space="preserve">13</w:t>
        </w:r>
      </w:hyperlink>
      <w:r>
        <w:rPr>
          <w:color w:val="C00000"/>
        </w:rPr>
        <w:t xml:space="preserve">). The result is deliberately reported without euphemism: after correction, the gate significantly exceeds only Spectral and HDBSCAN (</w:t>
      </w:r>
      <m:oMath>
        <m:sSub>
          <m:e>
            <m:r>
              <m:t>p</m:t>
            </m:r>
          </m:e>
          <m:sub>
            <m:r>
              <m:rPr>
                <m:nor/>
                <m:sty m:val="p"/>
              </m:rPr>
              <m:t>Holm</m:t>
            </m:r>
          </m:sub>
        </m:sSub>
        <m:r>
          <m:rPr>
            <m:sty m:val="p"/>
          </m:rPr>
          <m:t>=</m:t>
        </m:r>
        <m:r>
          <m:t>0.004</m:t>
        </m:r>
      </m:oMath>
      <w:r>
        <w:rPr>
          <w:color w:val="C00000"/>
        </w:rPr>
        <w:t xml:space="preserve">); against KMeans, GMM, Agglomerative, DEC, IDEC, and DCN the difference does not reach significance, and the gate trails N2D by a small margin (</w:t>
      </w:r>
      <m:oMath>
        <m:r>
          <m:rPr>
            <m:sty m:val="p"/>
          </m:rPr>
          <m:t>−</m:t>
        </m:r>
        <m:r>
          <m:t>0.019</m:t>
        </m:r>
      </m:oMath>
      <w:r>
        <w:rPr>
          <w:color w:val="C00000"/>
        </w:rPr>
        <w:t xml:space="preserve"> </w:t>
      </w:r>
      <w:r>
        <w:rPr>
          <w:color w:val="C00000"/>
        </w:rPr>
        <w:t xml:space="preserve">mean ARI,</w:t>
      </w:r>
      <w:r>
        <w:rPr>
          <w:color w:val="C00000"/>
        </w:rPr>
        <w:t xml:space="preserve"> </w:t>
      </w:r>
      <m:oMath>
        <m:r>
          <m:t>95</m:t>
        </m:r>
        <m:r>
          <m:rPr>
            <m:sty m:val="p"/>
          </m:rPr>
          <m:t>%</m:t>
        </m:r>
      </m:oMath>
      <w:r>
        <w:rPr>
          <w:color w:val="C00000"/>
        </w:rPr>
        <w:t xml:space="preserve"> </w:t>
      </w:r>
      <w:r>
        <w:rPr>
          <w:color w:val="C00000"/>
        </w:rPr>
        <w:t xml:space="preserve">CI</w:t>
      </w:r>
      <w:r>
        <w:rPr>
          <w:color w:val="C00000"/>
        </w:rPr>
        <w:t xml:space="preserve"> </w:t>
      </w:r>
      <m:oMath>
        <m:r>
          <m:rPr>
            <m:sty m:val="p"/>
          </m:rPr>
          <m:t>[</m:t>
        </m:r>
        <m:r>
          <m:rPr>
            <m:sty m:val="p"/>
          </m:rPr>
          <m:t>−</m:t>
        </m:r>
        <m:r>
          <m:t>0.079</m:t>
        </m:r>
        <m:r>
          <m:rPr>
            <m:sty m:val="p"/>
          </m:rPr>
          <m:t>,</m:t>
        </m:r>
        <m:r>
          <m:rPr>
            <m:sty m:val="p"/>
          </m:rPr>
          <m:t>+</m:t>
        </m:r>
        <m:r>
          <m:t>0.040</m:t>
        </m:r>
        <m:r>
          <m:rPr>
            <m:sty m:val="p"/>
          </m:rPr>
          <m:t>]</m:t>
        </m:r>
      </m:oMath>
      <w:r>
        <w:rPr>
          <w:color w:val="C00000"/>
        </w:rPr>
        <w:t xml:space="preserve">; Wilcoxon</w:t>
      </w:r>
      <w:r>
        <w:rPr>
          <w:color w:val="C00000"/>
        </w:rPr>
        <w:t xml:space="preserve"> </w:t>
      </w:r>
      <m:oMath>
        <m:r>
          <m:t>p</m:t>
        </m:r>
        <m:r>
          <m:rPr>
            <m:sty m:val="p"/>
          </m:rPr>
          <m:t>=</m:t>
        </m:r>
        <m:r>
          <m:t>0.73</m:t>
        </m:r>
      </m:oMath>
      <w:r>
        <w:rPr>
          <w:color w:val="C00000"/>
        </w:rPr>
        <w:t xml:space="preserve">, Cohen’s</w:t>
      </w:r>
      <w:r>
        <w:rPr>
          <w:color w:val="C00000"/>
        </w:rPr>
        <w:t xml:space="preserve"> </w:t>
      </w:r>
      <m:oMath>
        <m:sSub>
          <m:e>
            <m:r>
              <m:t>d</m:t>
            </m:r>
          </m:e>
          <m:sub>
            <m:r>
              <m:t>z</m:t>
            </m:r>
          </m:sub>
        </m:sSub>
        <m:r>
          <m:rPr>
            <m:sty m:val="p"/>
          </m:rPr>
          <m:t>=</m:t>
        </m:r>
        <m:r>
          <m:rPr>
            <m:sty m:val="p"/>
          </m:rPr>
          <m:t>−</m:t>
        </m:r>
        <m:r>
          <m:t>0.18</m:t>
        </m:r>
      </m:oMath>
      <w:r>
        <w:rPr>
          <w:color w:val="C00000"/>
        </w:rPr>
        <w:t xml:space="preserve">). Crucially, a failure to reject is</w:t>
      </w:r>
      <w:r>
        <w:rPr>
          <w:color w:val="C00000"/>
        </w:rPr>
        <w:t xml:space="preserve"> </w:t>
      </w:r>
      <w:r>
        <w:rPr>
          <w:i/>
          <w:iCs/>
          <w:color w:val="C00000"/>
        </w:rPr>
        <w:t xml:space="preserve">not</w:t>
      </w:r>
      <w:r>
        <w:rPr>
          <w:color w:val="C00000"/>
        </w:rPr>
        <w:t xml:space="preserve"> </w:t>
      </w:r>
      <w:r>
        <w:rPr>
          <w:color w:val="C00000"/>
        </w:rPr>
        <w:t xml:space="preserve">equivalence: a two-one-sided-tests check does not establish equivalence to N2D even at a</w:t>
      </w:r>
      <w:r>
        <w:rPr>
          <w:color w:val="C00000"/>
        </w:rPr>
        <w:t xml:space="preserve"> </w:t>
      </w:r>
      <m:oMath>
        <m:r>
          <m:rPr>
            <m:sty m:val="p"/>
          </m:rPr>
          <m:t>±</m:t>
        </m:r>
        <m:r>
          <m:t>0.05</m:t>
        </m:r>
      </m:oMath>
      <w:r>
        <w:rPr>
          <w:color w:val="C00000"/>
        </w:rPr>
        <w:t xml:space="preserve"> </w:t>
      </w:r>
      <w:r>
        <w:rPr>
          <w:color w:val="C00000"/>
        </w:rPr>
        <w:t xml:space="preserve">ARI margin (</w:t>
      </w:r>
      <m:oMath>
        <m:r>
          <m:t>p</m:t>
        </m:r>
        <m:r>
          <m:rPr>
            <m:sty m:val="p"/>
          </m:rPr>
          <m:t>=</m:t>
        </m:r>
        <m:r>
          <m:t>0.17</m:t>
        </m:r>
      </m:oMath>
      <w:r>
        <w:rPr>
          <w:color w:val="C00000"/>
        </w:rPr>
        <w:t xml:space="preserve">), so we claim neither superiority nor equivalence—only a small, statistically unresolved difference at this sample size. The deployable method is therefore</w:t>
      </w:r>
      <w:r>
        <w:rPr>
          <w:color w:val="C00000"/>
        </w:rPr>
        <w:t xml:space="preserve"> </w:t>
      </w:r>
      <w:r>
        <w:rPr>
          <w:i/>
          <w:iCs/>
          <w:color w:val="C00000"/>
        </w:rPr>
        <w:t xml:space="preserve">competitive</w:t>
      </w:r>
      <w:r>
        <w:rPr>
          <w:color w:val="C00000"/>
        </w:rPr>
        <w:t xml:space="preserve"> </w:t>
      </w:r>
      <w:r>
        <w:rPr>
          <w:color w:val="C00000"/>
        </w:rPr>
        <w:t xml:space="preserve">with strong classical and deep baselines while uniquely inferring the cluster count—its value is not a higher score but the diagnostic lesson of §</w:t>
      </w:r>
      <w:hyperlink w:anchor="sec:disc">
        <w:r>
          <w:rPr>
            <w:rStyle w:val="Hyperlink"/>
          </w:rPr>
          <w:t xml:space="preserve">5</w:t>
        </w:r>
      </w:hyperlink>
      <w:r>
        <w:rPr>
          <w:color w:val="C00000"/>
        </w:rPr>
        <w:t xml:space="preserve">. Beyond the numbers, the geometry of the resulting clusters is informative.</w:t>
      </w:r>
    </w:p>
    <w:bookmarkStart w:id="88" w:name="tab:stats"/>
    <w:p>
      <w:pPr>
        <w:pStyle w:val="TableCaption"/>
        <w:jc w:val="center"/>
      </w:pPr>
      <w:r>
        <w:rPr>
          <w:rFonts w:ascii="Times New Roman" w:hAnsi="Times New Roman" w:cs="Times New Roman"/>
          <w:color w:val="000000"/>
          <w:sz w:val="20"/>
        </w:rPr>
        <w:t xml:space="preserve">Table 13. </w:t>
      </w:r>
      <w:r>
        <w:rPr>
          <w:rFonts w:ascii="Times New Roman" w:hAnsi="Times New Roman" w:cs="Times New Roman"/>
          <w:color w:val="000000"/>
          <w:sz w:val="20"/>
        </w:rPr>
        <w:t xml:space="preserve">Two-tailed Wilcoxon signed-rank tests of the</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deployable</w:t>
      </w:r>
      <w:r>
        <w:rPr>
          <w:rFonts w:ascii="Times New Roman" w:hAnsi="Times New Roman" w:cs="Times New Roman"/>
          <w:color w:val="000000"/>
          <w:sz w:val="20"/>
        </w:rPr>
        <w:t xml:space="preserve"> </w:t>
      </w:r>
      <w:r>
        <w:rPr>
          <w:rFonts w:ascii="Times New Roman" w:hAnsi="Times New Roman" w:cs="Times New Roman"/>
          <w:color w:val="000000"/>
          <w:sz w:val="20"/>
        </w:rPr>
        <w:t xml:space="preserve">DEAC gate vs. each comparator over 12 datasets, Holm–Bonferroni corrected across the nine tests.</w:t>
      </w:r>
      <w:r>
        <w:rPr>
          <w:rFonts w:ascii="Times New Roman" w:hAnsi="Times New Roman" w:cs="Times New Roman"/>
          <w:color w:val="000000"/>
          <w:sz w:val="20"/>
        </w:rPr>
        <w:t xml:space="preserve"> </w:t>
      </w:r>
      <m:oMath>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marks a Holm-significant DEAC advantage.</w:t>
      </w:r>
    </w:p>
    <w:tbl>
      <w:tblPr>
        <w:tblStyle w:val="Table"/>
        <w:tblW w:type="dxa" w:w="4595"/>
        <w:tblLook w:firstRow="1" w:lastRow="0" w:firstColumn="0" w:lastColumn="0" w:noHBand="0" w:noVBand="0" w:val="0020"/>
        <w:tblCaption w:val="Two-tailed Wilcoxon signed-rank tests of the deployable DEAC gate vs. each comparator over 12 datasets, Holm–Bonferroni corrected across the nine tests. \checkmark marks a Holm-significant DEAC advantage."/>
        <w:tblLayout w:type="fixed"/>
      </w:tblPr>
      <w:tblGrid>
        <w:gridCol w:w="919"/>
        <w:gridCol w:w="919"/>
        <w:gridCol w:w="919"/>
        <w:gridCol w:w="919"/>
        <w:gridCol w:w="919"/>
      </w:tblGrid>
      <w:tr>
        <w:trPr>
          <w:tblHeader w:val="on"/>
        </w:trPr>
        <w:tc>
          <w:tcPr>
            <w:tcW w:type="dxa" w:w="919"/>
          </w:tcPr>
          <w:p>
            <w:pPr>
              <w:pStyle w:val="Compact"/>
              <w:jc w:val="left"/>
            </w:pPr>
            <w:r>
              <w:rPr>
                <w:sz w:val="18"/>
                <w:szCs w:val="18"/>
              </w:rPr>
              <w:t xml:space="preserve">Comparison</w:t>
            </w:r>
          </w:p>
        </w:tc>
        <w:tc>
          <w:tcPr>
            <w:tcW w:type="dxa" w:w="919"/>
          </w:tcPr>
          <w:p>
            <w:pPr>
              <w:pStyle w:val="Compact"/>
              <w:jc w:val="left"/>
            </w:pPr>
            <w:r>
              <w:rPr>
                <w:sz w:val="18"/>
                <w:szCs w:val="18"/>
              </w:rPr>
              <w:t xml:space="preserve">Type</w:t>
            </w:r>
          </w:p>
        </w:tc>
        <w:tc>
          <w:tcPr>
            <w:tcW w:type="dxa" w:w="919"/>
          </w:tcPr>
          <w:p>
            <w:pPr>
              <w:pStyle w:val="Compact"/>
              <w:jc w:val="center"/>
            </w:pPr>
            <m:oMath>
              <m:r>
                <m:t>p</m:t>
              </m:r>
            </m:oMath>
          </w:p>
        </w:tc>
        <w:tc>
          <w:tcPr>
            <w:tcW w:type="dxa" w:w="919"/>
          </w:tcPr>
          <w:p>
            <w:pPr>
              <w:pStyle w:val="Compact"/>
              <w:jc w:val="center"/>
            </w:pPr>
            <m:oMath>
              <m:sSub>
                <m:e>
                  <m:r>
                    <m:t>p</m:t>
                  </m:r>
                </m:e>
                <m:sub>
                  <m:r>
                    <m:rPr>
                      <m:nor/>
                      <m:sty m:val="p"/>
                    </m:rPr>
                    <m:t>Holm</m:t>
                  </m:r>
                </m:sub>
              </m:sSub>
            </m:oMath>
          </w:p>
        </w:tc>
        <w:tc>
          <w:tcPr>
            <w:tcW w:type="dxa" w:w="919"/>
          </w:tcPr>
          <w:p>
            <w:pPr>
              <w:pStyle w:val="Compact"/>
              <w:jc w:val="center"/>
            </w:pPr>
            <w:r>
              <w:rPr>
                <w:sz w:val="18"/>
                <w:szCs w:val="18"/>
              </w:rPr>
              <w:t xml:space="preserve">Sig.</w:t>
            </w:r>
          </w:p>
        </w:tc>
      </w:tr>
      <w:tr>
        <w:tc>
          <w:tcPr>
            <w:tcW w:type="dxa" w:w="919"/>
          </w:tcPr>
          <w:p>
            <w:pPr>
              <w:pStyle w:val="Compact"/>
              <w:jc w:val="left"/>
            </w:pPr>
            <w:r>
              <w:rPr>
                <w:sz w:val="18"/>
                <w:szCs w:val="18"/>
              </w:rPr>
              <w:t xml:space="preserve">DEAC vs KMeans</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0.034</w:t>
            </w:r>
          </w:p>
        </w:tc>
        <w:tc>
          <w:tcPr>
            <w:tcW w:type="dxa" w:w="919"/>
          </w:tcPr>
          <w:p>
            <w:pPr>
              <w:pStyle w:val="Compact"/>
              <w:jc w:val="center"/>
            </w:pPr>
            <w:r>
              <w:rPr>
                <w:sz w:val="18"/>
                <w:szCs w:val="18"/>
              </w:rPr>
              <w:t xml:space="preserve">0.205</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Spectral</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0.000</w:t>
            </w:r>
          </w:p>
        </w:tc>
        <w:tc>
          <w:tcPr>
            <w:tcW w:type="dxa" w:w="919"/>
          </w:tcPr>
          <w:p>
            <w:pPr>
              <w:pStyle w:val="Compact"/>
              <w:jc w:val="center"/>
            </w:pPr>
            <w:r>
              <w:rPr>
                <w:sz w:val="18"/>
                <w:szCs w:val="18"/>
              </w:rPr>
              <w:t xml:space="preserve">0.004</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Agglomerative</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0.151</w:t>
            </w:r>
          </w:p>
        </w:tc>
        <w:tc>
          <w:tcPr>
            <w:tcW w:type="dxa" w:w="919"/>
          </w:tcPr>
          <w:p>
            <w:pPr>
              <w:pStyle w:val="Compact"/>
              <w:jc w:val="center"/>
            </w:pPr>
            <w:r>
              <w:rPr>
                <w:sz w:val="18"/>
                <w:szCs w:val="18"/>
              </w:rPr>
              <w:t xml:space="preserve">0.303</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GMM</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0.052</w:t>
            </w:r>
          </w:p>
        </w:tc>
        <w:tc>
          <w:tcPr>
            <w:tcW w:type="dxa" w:w="919"/>
          </w:tcPr>
          <w:p>
            <w:pPr>
              <w:pStyle w:val="Compact"/>
              <w:jc w:val="center"/>
            </w:pPr>
            <w:r>
              <w:rPr>
                <w:sz w:val="18"/>
                <w:szCs w:val="18"/>
              </w:rPr>
              <w:t xml:space="preserve">0.261</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HDBSCAN</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0.000</w:t>
            </w:r>
          </w:p>
        </w:tc>
        <w:tc>
          <w:tcPr>
            <w:tcW w:type="dxa" w:w="919"/>
          </w:tcPr>
          <w:p>
            <w:pPr>
              <w:pStyle w:val="Compact"/>
              <w:jc w:val="center"/>
            </w:pPr>
            <w:r>
              <w:rPr>
                <w:sz w:val="18"/>
                <w:szCs w:val="18"/>
              </w:rPr>
              <w:t xml:space="preserve">0.004</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N2D</w:t>
            </w:r>
          </w:p>
        </w:tc>
        <w:tc>
          <w:tcPr>
            <w:tcW w:type="dxa" w:w="919"/>
          </w:tcPr>
          <w:p>
            <w:pPr>
              <w:pStyle w:val="Compact"/>
              <w:jc w:val="left"/>
            </w:pPr>
            <w:r>
              <w:rPr>
                <w:sz w:val="18"/>
                <w:szCs w:val="18"/>
              </w:rPr>
              <w:t xml:space="preserve">deep</w:t>
            </w:r>
          </w:p>
        </w:tc>
        <w:tc>
          <w:tcPr>
            <w:tcW w:type="dxa" w:w="919"/>
          </w:tcPr>
          <w:p>
            <w:pPr>
              <w:pStyle w:val="Compact"/>
              <w:jc w:val="center"/>
            </w:pPr>
            <w:r>
              <w:rPr>
                <w:sz w:val="18"/>
                <w:szCs w:val="18"/>
              </w:rPr>
              <w:t xml:space="preserve">0.733</w:t>
            </w:r>
          </w:p>
        </w:tc>
        <w:tc>
          <w:tcPr>
            <w:tcW w:type="dxa" w:w="919"/>
          </w:tcPr>
          <w:p>
            <w:pPr>
              <w:pStyle w:val="Compact"/>
              <w:jc w:val="center"/>
            </w:pPr>
            <w:r>
              <w:rPr>
                <w:sz w:val="18"/>
                <w:szCs w:val="18"/>
              </w:rPr>
              <w:t xml:space="preserve">0.733</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DEC</w:t>
            </w:r>
          </w:p>
        </w:tc>
        <w:tc>
          <w:tcPr>
            <w:tcW w:type="dxa" w:w="919"/>
          </w:tcPr>
          <w:p>
            <w:pPr>
              <w:pStyle w:val="Compact"/>
              <w:jc w:val="left"/>
            </w:pPr>
            <w:r>
              <w:rPr>
                <w:sz w:val="18"/>
                <w:szCs w:val="18"/>
              </w:rPr>
              <w:t xml:space="preserve">deep</w:t>
            </w:r>
          </w:p>
        </w:tc>
        <w:tc>
          <w:tcPr>
            <w:tcW w:type="dxa" w:w="919"/>
          </w:tcPr>
          <w:p>
            <w:pPr>
              <w:pStyle w:val="Compact"/>
              <w:jc w:val="center"/>
            </w:pPr>
            <w:r>
              <w:rPr>
                <w:sz w:val="18"/>
                <w:szCs w:val="18"/>
              </w:rPr>
              <w:t xml:space="preserve">0.064</w:t>
            </w:r>
          </w:p>
        </w:tc>
        <w:tc>
          <w:tcPr>
            <w:tcW w:type="dxa" w:w="919"/>
          </w:tcPr>
          <w:p>
            <w:pPr>
              <w:pStyle w:val="Compact"/>
              <w:jc w:val="center"/>
            </w:pPr>
            <w:r>
              <w:rPr>
                <w:sz w:val="18"/>
                <w:szCs w:val="18"/>
              </w:rPr>
              <w:t xml:space="preserve">0.261</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IDEC</w:t>
            </w:r>
          </w:p>
        </w:tc>
        <w:tc>
          <w:tcPr>
            <w:tcW w:type="dxa" w:w="919"/>
          </w:tcPr>
          <w:p>
            <w:pPr>
              <w:pStyle w:val="Compact"/>
              <w:jc w:val="left"/>
            </w:pPr>
            <w:r>
              <w:rPr>
                <w:sz w:val="18"/>
                <w:szCs w:val="18"/>
              </w:rPr>
              <w:t xml:space="preserve">deep</w:t>
            </w:r>
          </w:p>
        </w:tc>
        <w:tc>
          <w:tcPr>
            <w:tcW w:type="dxa" w:w="919"/>
          </w:tcPr>
          <w:p>
            <w:pPr>
              <w:pStyle w:val="Compact"/>
              <w:jc w:val="center"/>
            </w:pPr>
            <w:r>
              <w:rPr>
                <w:sz w:val="18"/>
                <w:szCs w:val="18"/>
              </w:rPr>
              <w:t xml:space="preserve">0.064</w:t>
            </w:r>
          </w:p>
        </w:tc>
        <w:tc>
          <w:tcPr>
            <w:tcW w:type="dxa" w:w="919"/>
          </w:tcPr>
          <w:p>
            <w:pPr>
              <w:pStyle w:val="Compact"/>
              <w:jc w:val="center"/>
            </w:pPr>
            <w:r>
              <w:rPr>
                <w:sz w:val="18"/>
                <w:szCs w:val="18"/>
              </w:rPr>
              <w:t xml:space="preserve">0.261</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DCN</w:t>
            </w:r>
          </w:p>
        </w:tc>
        <w:tc>
          <w:tcPr>
            <w:tcW w:type="dxa" w:w="919"/>
          </w:tcPr>
          <w:p>
            <w:pPr>
              <w:pStyle w:val="Compact"/>
              <w:jc w:val="left"/>
            </w:pPr>
            <w:r>
              <w:rPr>
                <w:sz w:val="18"/>
                <w:szCs w:val="18"/>
              </w:rPr>
              <w:t xml:space="preserve">deep</w:t>
            </w:r>
          </w:p>
        </w:tc>
        <w:tc>
          <w:tcPr>
            <w:tcW w:type="dxa" w:w="919"/>
          </w:tcPr>
          <w:p>
            <w:pPr>
              <w:pStyle w:val="Compact"/>
              <w:jc w:val="center"/>
            </w:pPr>
            <w:r>
              <w:rPr>
                <w:sz w:val="18"/>
                <w:szCs w:val="18"/>
              </w:rPr>
              <w:t xml:space="preserve">0.027</w:t>
            </w:r>
          </w:p>
        </w:tc>
        <w:tc>
          <w:tcPr>
            <w:tcW w:type="dxa" w:w="919"/>
          </w:tcPr>
          <w:p>
            <w:pPr>
              <w:pStyle w:val="Compact"/>
              <w:jc w:val="center"/>
            </w:pPr>
            <w:r>
              <w:rPr>
                <w:sz w:val="18"/>
                <w:szCs w:val="18"/>
              </w:rPr>
              <w:t xml:space="preserve">0.188</w:t>
            </w:r>
          </w:p>
        </w:tc>
        <w:tc>
          <w:tcPr>
            <w:tcW w:type="dxa" w:w="919"/>
          </w:tcPr>
          <w:p>
            <w:pPr>
              <w:pStyle w:val="Compact"/>
              <w:jc w:val="center"/>
            </w:pPr>
            <m:oMath>
              <m:r>
                <m:rPr>
                  <m:sty m:val="p"/>
                </m:rPr>
                <m:t>×</m:t>
              </m:r>
            </m:oMath>
          </w:p>
        </w:tc>
      </w:tr>
    </w:tbl>
    <w:bookmarkEnd w:id="88"/>
    <w:bookmarkEnd w:id="89"/>
    <w:bookmarkStart w:id="115" w:name="qualitative-analysis"/>
    <w:p>
      <w:pPr>
        <w:pStyle w:val="Heading2"/>
        <w:jc w:val="left"/>
      </w:pPr>
      <w:r>
        <w:rPr>
          <w:rFonts w:ascii="Times New Roman" w:hAnsi="Times New Roman" w:cs="Times New Roman"/>
          <w:b/>
          <w:color w:val="000000"/>
          <w:sz w:val="22"/>
        </w:rPr>
        <w:t>Qualitative Analysis</w:t>
      </w:r>
    </w:p>
    <w:p>
      <w:pPr>
        <w:pStyle w:val="FirstParagraph"/>
        <w:spacing w:before="0" w:after="0" w:line="240" w:lineRule="auto"/>
        <w:ind w:firstLine="330"/>
        <w:jc w:val="both"/>
      </w:pPr>
      <w:r>
        <w:t xml:space="preserve">Fig. </w:t>
      </w:r>
      <w:hyperlink w:anchor="fig:qualitative">
        <w:r>
          <w:rPr>
            <w:rStyle w:val="Hyperlink"/>
          </w:rPr>
          <w:t xml:space="preserve">9</w:t>
        </w:r>
      </w:hyperlink>
      <w:r>
        <w:t xml:space="preserve"> </w:t>
      </w:r>
      <w:r>
        <w:t xml:space="preserve">shows t-SNE projections of DEAC clusters (top) and silhouette plots (bottom) on four representative datasets (on a stratified 2</w:t>
      </w:r>
      <w:r>
        <w:t xml:space="preserve">,</w:t>
      </w:r>
      <w:r>
        <w:t xml:space="preserve">000-point sample for readability). The clusters are well separated and the silhouette coefficients are predominantly positive (mean</w:t>
      </w:r>
      <w:r>
        <w:t xml:space="preserve"> </w:t>
      </w:r>
      <m:oMath>
        <m:r>
          <m:t>0.62</m:t>
        </m:r>
      </m:oMath>
      <w:r>
        <w:t xml:space="preserve"> </w:t>
      </w:r>
      <w:r>
        <w:t xml:space="preserve">on MFeat,</w:t>
      </w:r>
      <w:r>
        <w:t xml:space="preserve"> </w:t>
      </w:r>
      <m:oMath>
        <m:r>
          <m:t>0.58</m:t>
        </m:r>
      </m:oMath>
      <w:r>
        <w:t xml:space="preserve"> </w:t>
      </w:r>
      <w:r>
        <w:t xml:space="preserve">on PenDigits). The optimization that produces them is worth inspecting too.</w:t>
      </w:r>
    </w:p>
    <w:bookmarkStart w:id="114" w:name="fig:qualitative"/>
    <w:tbl>
      <w:tblPr>
        <w:tblStyle w:val="FigureTable"/>
        <w:tblW w:type="dxa" w:w="4597"/>
        <w:jc w:val="center"/>
        <w:tblLook w:firstRow="0" w:lastRow="0" w:firstColumn="0" w:lastColumn="0"/>
        <w:tblLayout w:type="fixed"/>
      </w:tblPr>
      <w:tblGrid>
        <w:gridCol w:w="4597"/>
      </w:tblGrid>
      <w:tr>
        <w:tc>
          <w:tcPr>
            <w:tcW w:type="dxa" w:w="4597"/>
          </w:tcPr>
          <w:tbl>
            <w:tblPr>
              <w:tblStyle w:val="Table"/>
              <w:tblW w:type="dxa" w:w="4596"/>
              <w:tblLook w:firstRow="0" w:lastRow="0" w:firstColumn="0" w:lastColumn="0" w:noHBand="0" w:noVBand="0" w:val="0000"/>
              <w:tblLayout w:type="fixed"/>
            </w:tblPr>
            <w:tblGrid>
              <w:gridCol w:w="1149"/>
              <w:gridCol w:w="1149"/>
              <w:gridCol w:w="1149"/>
              <w:gridCol w:w="1149"/>
            </w:tblGrid>
            <w:tr>
              <w:tc>
                <w:tcPr>
                  <w:tcW w:type="dxa" w:w="1149"/>
                </w:tcPr>
                <w:p>
                  <w:pPr>
                    <w:pStyle w:val="Compact"/>
                    <w:jc w:val="center"/>
                    <w:jc w:val="center"/>
                  </w:pPr>
                  <w:r>
                    <w:drawing>
                      <wp:inline>
                        <wp:extent cx="653415" cy="577392"/>
                        <wp:effectExtent b="0" l="0" r="0" t="0"/>
                        <wp:docPr descr="image" title="" id="91" name="Picture"/>
                        <a:graphic>
                          <a:graphicData uri="http://schemas.openxmlformats.org/drawingml/2006/picture">
                            <pic:pic>
                              <pic:nvPicPr>
                                <pic:cNvPr descr="figures/MFeat/tsne_MFeat.png" id="92" name="Picture"/>
                                <pic:cNvPicPr>
                                  <a:picLocks noChangeArrowheads="1" noChangeAspect="1"/>
                                </pic:cNvPicPr>
                              </pic:nvPicPr>
                              <pic:blipFill>
                                <a:blip r:embed="rId90"/>
                                <a:stretch>
                                  <a:fillRect/>
                                </a:stretch>
                              </pic:blipFill>
                              <pic:spPr bwMode="auto">
                                <a:xfrm>
                                  <a:off x="0" y="0"/>
                                  <a:ext cx="653415" cy="577392"/>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77392"/>
                        <wp:effectExtent b="0" l="0" r="0" t="0"/>
                        <wp:docPr descr="image" title="" id="94" name="Picture"/>
                        <a:graphic>
                          <a:graphicData uri="http://schemas.openxmlformats.org/drawingml/2006/picture">
                            <pic:pic>
                              <pic:nvPicPr>
                                <pic:cNvPr descr="figures/COIL20/tsne_COIL20.png" id="95" name="Picture"/>
                                <pic:cNvPicPr>
                                  <a:picLocks noChangeArrowheads="1" noChangeAspect="1"/>
                                </pic:cNvPicPr>
                              </pic:nvPicPr>
                              <pic:blipFill>
                                <a:blip r:embed="rId93"/>
                                <a:stretch>
                                  <a:fillRect/>
                                </a:stretch>
                              </pic:blipFill>
                              <pic:spPr bwMode="auto">
                                <a:xfrm>
                                  <a:off x="0" y="0"/>
                                  <a:ext cx="653415" cy="577392"/>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77392"/>
                        <wp:effectExtent b="0" l="0" r="0" t="0"/>
                        <wp:docPr descr="image" title="" id="97" name="Picture"/>
                        <a:graphic>
                          <a:graphicData uri="http://schemas.openxmlformats.org/drawingml/2006/picture">
                            <pic:pic>
                              <pic:nvPicPr>
                                <pic:cNvPr descr="figures/Olivetti/tsne_Olivetti.png" id="98" name="Picture"/>
                                <pic:cNvPicPr>
                                  <a:picLocks noChangeArrowheads="1" noChangeAspect="1"/>
                                </pic:cNvPicPr>
                              </pic:nvPicPr>
                              <pic:blipFill>
                                <a:blip r:embed="rId96"/>
                                <a:stretch>
                                  <a:fillRect/>
                                </a:stretch>
                              </pic:blipFill>
                              <pic:spPr bwMode="auto">
                                <a:xfrm>
                                  <a:off x="0" y="0"/>
                                  <a:ext cx="653415" cy="577392"/>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77392"/>
                        <wp:effectExtent b="0" l="0" r="0" t="0"/>
                        <wp:docPr descr="image" title="" id="100" name="Picture"/>
                        <a:graphic>
                          <a:graphicData uri="http://schemas.openxmlformats.org/drawingml/2006/picture">
                            <pic:pic>
                              <pic:nvPicPr>
                                <pic:cNvPr descr="figures/PenDigits/tsne_PenDigits.png" id="101" name="Picture"/>
                                <pic:cNvPicPr>
                                  <a:picLocks noChangeArrowheads="1" noChangeAspect="1"/>
                                </pic:cNvPicPr>
                              </pic:nvPicPr>
                              <pic:blipFill>
                                <a:blip r:embed="rId99"/>
                                <a:stretch>
                                  <a:fillRect/>
                                </a:stretch>
                              </pic:blipFill>
                              <pic:spPr bwMode="auto">
                                <a:xfrm>
                                  <a:off x="0" y="0"/>
                                  <a:ext cx="653415" cy="577392"/>
                                </a:xfrm>
                                <a:prstGeom prst="rect">
                                  <a:avLst/>
                                </a:prstGeom>
                                <a:noFill/>
                                <a:ln w="9525">
                                  <a:noFill/>
                                  <a:headEnd/>
                                  <a:tailEnd/>
                                </a:ln>
                              </pic:spPr>
                            </pic:pic>
                          </a:graphicData>
                        </a:graphic>
                      </wp:inline>
                    </w:drawing>
                  </w:r>
                </w:p>
              </w:tc>
            </w:tr>
            <w:tr>
              <w:tc>
                <w:tcPr>
                  <w:tcW w:type="dxa" w:w="1149"/>
                </w:tcPr>
                <w:p>
                  <w:pPr>
                    <w:pStyle w:val="Compact"/>
                    <w:jc w:val="center"/>
                    <w:jc w:val="center"/>
                  </w:pPr>
                  <w:r>
                    <w:t xml:space="preserve">(a) MFeat</w:t>
                  </w:r>
                </w:p>
              </w:tc>
              <w:tc>
                <w:tcPr>
                  <w:tcW w:type="dxa" w:w="1149"/>
                </w:tcPr>
                <w:p>
                  <w:pPr>
                    <w:pStyle w:val="Compact"/>
                    <w:jc w:val="center"/>
                    <w:jc w:val="center"/>
                  </w:pPr>
                  <w:r>
                    <w:t xml:space="preserve">(b) COIL-20</w:t>
                  </w:r>
                </w:p>
              </w:tc>
              <w:tc>
                <w:tcPr>
                  <w:tcW w:type="dxa" w:w="1149"/>
                </w:tcPr>
                <w:p>
                  <w:pPr>
                    <w:pStyle w:val="Compact"/>
                    <w:jc w:val="center"/>
                    <w:jc w:val="center"/>
                  </w:pPr>
                  <w:r>
                    <w:t xml:space="preserve">(c) Olivetti</w:t>
                  </w:r>
                </w:p>
              </w:tc>
              <w:tc>
                <w:tcPr>
                  <w:tcW w:type="dxa" w:w="1149"/>
                </w:tcPr>
                <w:p>
                  <w:pPr>
                    <w:pStyle w:val="Compact"/>
                    <w:jc w:val="center"/>
                    <w:jc w:val="center"/>
                  </w:pPr>
                  <w:r>
                    <w:t xml:space="preserve">(d) PenDigits</w:t>
                  </w:r>
                </w:p>
              </w:tc>
            </w:tr>
            <w:tr>
              <w:tc>
                <w:tcPr>
                  <w:tcW w:type="dxa" w:w="1149"/>
                </w:tcPr>
                <w:p>
                  <w:pPr>
                    <w:pStyle w:val="Compact"/>
                    <w:jc w:val="center"/>
                    <w:jc w:val="center"/>
                  </w:pPr>
                  <w:r>
                    <w:drawing>
                      <wp:inline>
                        <wp:extent cx="653415" cy="536150"/>
                        <wp:effectExtent b="0" l="0" r="0" t="0"/>
                        <wp:docPr descr="image" title="" id="103" name="Picture"/>
                        <a:graphic>
                          <a:graphicData uri="http://schemas.openxmlformats.org/drawingml/2006/picture">
                            <pic:pic>
                              <pic:nvPicPr>
                                <pic:cNvPr descr="figures/MFeat/silhouette_MFeat.png" id="104" name="Picture"/>
                                <pic:cNvPicPr>
                                  <a:picLocks noChangeArrowheads="1" noChangeAspect="1"/>
                                </pic:cNvPicPr>
                              </pic:nvPicPr>
                              <pic:blipFill>
                                <a:blip r:embed="rId102"/>
                                <a:stretch>
                                  <a:fillRect/>
                                </a:stretch>
                              </pic:blipFill>
                              <pic:spPr bwMode="auto">
                                <a:xfrm>
                                  <a:off x="0" y="0"/>
                                  <a:ext cx="653415" cy="536150"/>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36150"/>
                        <wp:effectExtent b="0" l="0" r="0" t="0"/>
                        <wp:docPr descr="image" title="" id="106" name="Picture"/>
                        <a:graphic>
                          <a:graphicData uri="http://schemas.openxmlformats.org/drawingml/2006/picture">
                            <pic:pic>
                              <pic:nvPicPr>
                                <pic:cNvPr descr="figures/COIL20/silhouette_COIL20.png" id="107" name="Picture"/>
                                <pic:cNvPicPr>
                                  <a:picLocks noChangeArrowheads="1" noChangeAspect="1"/>
                                </pic:cNvPicPr>
                              </pic:nvPicPr>
                              <pic:blipFill>
                                <a:blip r:embed="rId105"/>
                                <a:stretch>
                                  <a:fillRect/>
                                </a:stretch>
                              </pic:blipFill>
                              <pic:spPr bwMode="auto">
                                <a:xfrm>
                                  <a:off x="0" y="0"/>
                                  <a:ext cx="653415" cy="536150"/>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36150"/>
                        <wp:effectExtent b="0" l="0" r="0" t="0"/>
                        <wp:docPr descr="image" title="" id="109" name="Picture"/>
                        <a:graphic>
                          <a:graphicData uri="http://schemas.openxmlformats.org/drawingml/2006/picture">
                            <pic:pic>
                              <pic:nvPicPr>
                                <pic:cNvPr descr="figures/Olivetti/silhouette_Olivetti.png" id="110" name="Picture"/>
                                <pic:cNvPicPr>
                                  <a:picLocks noChangeArrowheads="1" noChangeAspect="1"/>
                                </pic:cNvPicPr>
                              </pic:nvPicPr>
                              <pic:blipFill>
                                <a:blip r:embed="rId108"/>
                                <a:stretch>
                                  <a:fillRect/>
                                </a:stretch>
                              </pic:blipFill>
                              <pic:spPr bwMode="auto">
                                <a:xfrm>
                                  <a:off x="0" y="0"/>
                                  <a:ext cx="653415" cy="536150"/>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36150"/>
                        <wp:effectExtent b="0" l="0" r="0" t="0"/>
                        <wp:docPr descr="image" title="" id="112" name="Picture"/>
                        <a:graphic>
                          <a:graphicData uri="http://schemas.openxmlformats.org/drawingml/2006/picture">
                            <pic:pic>
                              <pic:nvPicPr>
                                <pic:cNvPr descr="figures/PenDigits/silhouette_PenDigits.png" id="113" name="Picture"/>
                                <pic:cNvPicPr>
                                  <a:picLocks noChangeArrowheads="1" noChangeAspect="1"/>
                                </pic:cNvPicPr>
                              </pic:nvPicPr>
                              <pic:blipFill>
                                <a:blip r:embed="rId111"/>
                                <a:stretch>
                                  <a:fillRect/>
                                </a:stretch>
                              </pic:blipFill>
                              <pic:spPr bwMode="auto">
                                <a:xfrm>
                                  <a:off x="0" y="0"/>
                                  <a:ext cx="653415" cy="536150"/>
                                </a:xfrm>
                                <a:prstGeom prst="rect">
                                  <a:avLst/>
                                </a:prstGeom>
                                <a:noFill/>
                                <a:ln w="9525">
                                  <a:noFill/>
                                  <a:headEnd/>
                                  <a:tailEnd/>
                                </a:ln>
                              </pic:spPr>
                            </pic:pic>
                          </a:graphicData>
                        </a:graphic>
                      </wp:inline>
                    </w:drawing>
                  </w:r>
                </w:p>
              </w:tc>
            </w:tr>
            <w:tr>
              <w:tc>
                <w:tcPr>
                  <w:tcW w:type="dxa" w:w="1149"/>
                </w:tcPr>
                <w:p>
                  <w:pPr>
                    <w:pStyle w:val="Compact"/>
                    <w:jc w:val="center"/>
                    <w:jc w:val="center"/>
                  </w:pPr>
                  <w:r>
                    <w:t xml:space="preserve">(e) MFeat sil.</w:t>
                  </w:r>
                </w:p>
              </w:tc>
              <w:tc>
                <w:tcPr>
                  <w:tcW w:type="dxa" w:w="1149"/>
                </w:tcPr>
                <w:p>
                  <w:pPr>
                    <w:pStyle w:val="Compact"/>
                    <w:jc w:val="center"/>
                    <w:jc w:val="center"/>
                  </w:pPr>
                  <w:r>
                    <w:t xml:space="preserve">(f) COIL-20 sil.</w:t>
                  </w:r>
                </w:p>
              </w:tc>
              <w:tc>
                <w:tcPr>
                  <w:tcW w:type="dxa" w:w="1149"/>
                </w:tcPr>
                <w:p>
                  <w:pPr>
                    <w:pStyle w:val="Compact"/>
                    <w:jc w:val="center"/>
                    <w:jc w:val="center"/>
                  </w:pPr>
                  <w:r>
                    <w:t xml:space="preserve">(g) Olivetti sil.</w:t>
                  </w:r>
                </w:p>
              </w:tc>
              <w:tc>
                <w:tcPr>
                  <w:tcW w:type="dxa" w:w="1149"/>
                </w:tcPr>
                <w:p>
                  <w:pPr>
                    <w:pStyle w:val="Compact"/>
                    <w:jc w:val="center"/>
                    <w:jc w:val="center"/>
                  </w:pPr>
                  <w:r>
                    <w:t xml:space="preserve">(h) PenDigits sil.</w:t>
                  </w:r>
                </w:p>
              </w:tc>
            </w:tr>
          </w:tbl>
          <w:p/>
        </w:tc>
      </w:tr>
    </w:tbl>
    <w:p>
      <w:pPr>
        <w:pStyle w:val="ImageCaption"/>
        <w:jc w:val="center"/>
      </w:pPr>
      <w:r>
        <w:rPr>
          <w:rFonts w:ascii="Times New Roman" w:hAnsi="Times New Roman" w:cs="Times New Roman"/>
          <w:color w:val="000000"/>
          <w:sz w:val="20"/>
        </w:rPr>
        <w:t xml:space="preserve">Fig. 9. </w:t>
      </w:r>
      <w:r>
        <w:rPr>
          <w:rFonts w:ascii="Times New Roman" w:hAnsi="Times New Roman" w:cs="Times New Roman"/>
          <w:color w:val="000000"/>
          <w:sz w:val="20"/>
        </w:rPr>
        <w:t xml:space="preserve">Qualitative analysis. Top (a–d): t-SNE projections of DEAC clusters. Bottom (e–h): silhouette plots.</w:t>
      </w:r>
    </w:p>
    <w:bookmarkEnd w:id="114"/>
    <w:bookmarkEnd w:id="115"/>
    <w:bookmarkStart w:id="129" w:name="optimization-dynamics"/>
    <w:p>
      <w:pPr>
        <w:pStyle w:val="Heading2"/>
        <w:jc w:val="left"/>
      </w:pPr>
      <w:r>
        <w:rPr>
          <w:rFonts w:ascii="Times New Roman" w:hAnsi="Times New Roman" w:cs="Times New Roman"/>
          <w:b/>
          <w:color w:val="C00000"/>
          <w:sz w:val="22"/>
        </w:rPr>
        <w:t>Optimization Dynamics</w:t>
      </w:r>
    </w:p>
    <w:p>
      <w:pPr>
        <w:pStyle w:val="FirstParagraph"/>
        <w:spacing w:before="0" w:after="0" w:line="240" w:lineRule="auto"/>
        <w:ind w:firstLine="330"/>
        <w:jc w:val="both"/>
      </w:pPr>
      <w:r>
        <w:rPr>
          <w:color w:val="C00000"/>
        </w:rPr>
        <w:t xml:space="preserve">Fig. </w:t>
      </w:r>
      <w:hyperlink w:anchor="fig:optim_dynamics">
        <w:r>
          <w:rPr>
            <w:rStyle w:val="Hyperlink"/>
          </w:rPr>
          <w:t xml:space="preserve">10</w:t>
        </w:r>
      </w:hyperlink>
      <w:r>
        <w:rPr>
          <w:color w:val="C00000"/>
        </w:rPr>
        <w:t xml:space="preserve"> </w:t>
      </w:r>
      <w:r>
        <w:rPr>
          <w:color w:val="C00000"/>
        </w:rPr>
        <w:t xml:space="preserve">shows DE convergence curves and parameter exploration trajectories. Each restart converges within 6–8 generations; the trajectory axis concatenates the</w:t>
      </w:r>
      <w:r>
        <w:rPr>
          <w:color w:val="C00000"/>
        </w:rPr>
        <w:t xml:space="preserve"> </w:t>
      </w:r>
      <m:oMath>
        <m:r>
          <m:t>R</m:t>
        </m:r>
        <m:r>
          <m:rPr>
            <m:sty m:val="p"/>
          </m:rPr>
          <m:t>=</m:t>
        </m:r>
        <m:r>
          <m:t>2</m:t>
        </m:r>
      </m:oMath>
      <w:r>
        <w:rPr>
          <w:color w:val="C00000"/>
        </w:rPr>
        <w:t xml:space="preserve"> </w:t>
      </w:r>
      <w:r>
        <w:rPr>
          <w:color w:val="C00000"/>
        </w:rPr>
        <w:t xml:space="preserve">restarts (so it extends beyond generation 8) before Nelder–Mead refines the best candidate. The nominal evaluation budget is</w:t>
      </w:r>
      <w:r>
        <w:rPr>
          <w:color w:val="C00000"/>
        </w:rPr>
        <w:t xml:space="preserve"> </w:t>
      </w:r>
      <m:oMath>
        <m:r>
          <m:t>R</m:t>
        </m:r>
        <m:r>
          <m:rPr>
            <m:sty m:val="p"/>
          </m:rPr>
          <m:t>⋅</m:t>
        </m:r>
        <m:r>
          <m:t>G</m:t>
        </m:r>
        <m:r>
          <m:rPr>
            <m:sty m:val="p"/>
          </m:rPr>
          <m:t>⋅</m:t>
        </m:r>
        <m:r>
          <m:t>P</m:t>
        </m:r>
        <m:r>
          <m:rPr>
            <m:sty m:val="p"/>
          </m:rPr>
          <m:t>≈</m:t>
        </m:r>
        <m:r>
          <m:t>320</m:t>
        </m:r>
      </m:oMath>
      <w:r>
        <w:rPr>
          <w:color w:val="C00000"/>
        </w:rPr>
        <w:t xml:space="preserve"> </w:t>
      </w:r>
      <w:r>
        <w:rPr>
          <w:color w:val="C00000"/>
        </w:rPr>
        <w:t xml:space="preserve">fitness evaluations (Table </w:t>
      </w:r>
      <w:hyperlink w:anchor="tab:complexity">
        <w:r>
          <w:rPr>
            <w:rStyle w:val="Hyperlink"/>
          </w:rPr>
          <w:t xml:space="preserve">16</w:t>
        </w:r>
      </w:hyperlink>
      <w:r>
        <w:rPr>
          <w:color w:val="C00000"/>
        </w:rPr>
        <w:t xml:space="preserve">). To separate the contribution of each component, we now ablate them.</w:t>
      </w:r>
    </w:p>
    <w:bookmarkStart w:id="128" w:name="fig:optim_dynamics"/>
    <w:tbl>
      <w:tblPr>
        <w:tblStyle w:val="FigureTable"/>
        <w:tblW w:type="dxa" w:w="4597"/>
        <w:jc w:val="center"/>
        <w:tblLook w:firstRow="0" w:lastRow="0" w:firstColumn="0" w:lastColumn="0"/>
        <w:tblLayout w:type="fixed"/>
      </w:tblPr>
      <w:tblGrid>
        <w:gridCol w:w="4597"/>
      </w:tblGrid>
      <w:tr>
        <w:tc>
          <w:tcPr>
            <w:tcW w:type="dxa" w:w="4597"/>
          </w:tcPr>
          <w:tbl>
            <w:tblPr>
              <w:tblStyle w:val="Table"/>
              <w:tblW w:type="dxa" w:w="4596"/>
              <w:tblLook w:firstRow="0" w:lastRow="0" w:firstColumn="0" w:lastColumn="0" w:noHBand="0" w:noVBand="0" w:val="0000"/>
              <w:tblLayout w:type="fixed"/>
            </w:tblPr>
            <w:tblGrid>
              <w:gridCol w:w="2298"/>
              <w:gridCol w:w="2298"/>
            </w:tblGrid>
            <w:tr>
              <w:tc>
                <w:tcPr>
                  <w:tcW w:type="dxa" w:w="2298"/>
                </w:tcPr>
                <w:p>
                  <w:pPr>
                    <w:pStyle w:val="Compact"/>
                    <w:jc w:val="center"/>
                    <w:jc w:val="center"/>
                  </w:pPr>
                  <w:r>
                    <w:drawing>
                      <wp:inline>
                        <wp:extent cx="1383030" cy="758435"/>
                        <wp:effectExtent b="0" l="0" r="0" t="0"/>
                        <wp:docPr descr="image" title="" id="117" name="Picture"/>
                        <a:graphic>
                          <a:graphicData uri="http://schemas.openxmlformats.org/drawingml/2006/picture">
                            <pic:pic>
                              <pic:nvPicPr>
                                <pic:cNvPr descr="figures/MFeat/de_convergence_MFeat.png" id="118" name="Picture"/>
                                <pic:cNvPicPr>
                                  <a:picLocks noChangeArrowheads="1" noChangeAspect="1"/>
                                </pic:cNvPicPr>
                              </pic:nvPicPr>
                              <pic:blipFill>
                                <a:blip r:embed="rId116"/>
                                <a:stretch>
                                  <a:fillRect/>
                                </a:stretch>
                              </pic:blipFill>
                              <pic:spPr bwMode="auto">
                                <a:xfrm>
                                  <a:off x="0" y="0"/>
                                  <a:ext cx="1383030" cy="758435"/>
                                </a:xfrm>
                                <a:prstGeom prst="rect">
                                  <a:avLst/>
                                </a:prstGeom>
                                <a:noFill/>
                                <a:ln w="9525">
                                  <a:noFill/>
                                  <a:headEnd/>
                                  <a:tailEnd/>
                                </a:ln>
                              </pic:spPr>
                            </pic:pic>
                          </a:graphicData>
                        </a:graphic>
                      </wp:inline>
                    </w:drawing>
                  </w:r>
                </w:p>
              </w:tc>
              <w:tc>
                <w:tcPr>
                  <w:tcW w:type="dxa" w:w="2298"/>
                </w:tcPr>
                <w:p>
                  <w:pPr>
                    <w:pStyle w:val="Compact"/>
                    <w:jc w:val="center"/>
                    <w:jc w:val="center"/>
                  </w:pPr>
                  <w:r>
                    <w:drawing>
                      <wp:inline>
                        <wp:extent cx="1383030" cy="758435"/>
                        <wp:effectExtent b="0" l="0" r="0" t="0"/>
                        <wp:docPr descr="image" title="" id="120" name="Picture"/>
                        <a:graphic>
                          <a:graphicData uri="http://schemas.openxmlformats.org/drawingml/2006/picture">
                            <pic:pic>
                              <pic:nvPicPr>
                                <pic:cNvPr descr="figures/COIL20/de_convergence_COIL20.png" id="121" name="Picture"/>
                                <pic:cNvPicPr>
                                  <a:picLocks noChangeArrowheads="1" noChangeAspect="1"/>
                                </pic:cNvPicPr>
                              </pic:nvPicPr>
                              <pic:blipFill>
                                <a:blip r:embed="rId119"/>
                                <a:stretch>
                                  <a:fillRect/>
                                </a:stretch>
                              </pic:blipFill>
                              <pic:spPr bwMode="auto">
                                <a:xfrm>
                                  <a:off x="0" y="0"/>
                                  <a:ext cx="1383030" cy="758435"/>
                                </a:xfrm>
                                <a:prstGeom prst="rect">
                                  <a:avLst/>
                                </a:prstGeom>
                                <a:noFill/>
                                <a:ln w="9525">
                                  <a:noFill/>
                                  <a:headEnd/>
                                  <a:tailEnd/>
                                </a:ln>
                              </pic:spPr>
                            </pic:pic>
                          </a:graphicData>
                        </a:graphic>
                      </wp:inline>
                    </w:drawing>
                  </w:r>
                </w:p>
              </w:tc>
            </w:tr>
            <w:tr>
              <w:tc>
                <w:tcPr>
                  <w:tcW w:type="dxa" w:w="2298"/>
                </w:tcPr>
                <w:p>
                  <w:pPr>
                    <w:pStyle w:val="Compact"/>
                    <w:jc w:val="center"/>
                    <w:jc w:val="center"/>
                  </w:pPr>
                  <w:r>
                    <w:t xml:space="preserve">(a) Convergence — MFeat</w:t>
                  </w:r>
                </w:p>
              </w:tc>
              <w:tc>
                <w:tcPr>
                  <w:tcW w:type="dxa" w:w="2298"/>
                </w:tcPr>
                <w:p>
                  <w:pPr>
                    <w:pStyle w:val="Compact"/>
                    <w:jc w:val="center"/>
                    <w:jc w:val="center"/>
                  </w:pPr>
                  <w:r>
                    <w:t xml:space="preserve">(b) Convergence — COIL-20</w:t>
                  </w:r>
                </w:p>
              </w:tc>
            </w:tr>
            <w:tr>
              <w:tc>
                <w:tcPr>
                  <w:tcW w:type="dxa" w:w="2298"/>
                </w:tcPr>
                <w:p>
                  <w:pPr>
                    <w:pStyle w:val="Compact"/>
                    <w:jc w:val="center"/>
                    <w:jc w:val="center"/>
                  </w:pPr>
                  <w:r>
                    <w:drawing>
                      <wp:inline>
                        <wp:extent cx="1383030" cy="758435"/>
                        <wp:effectExtent b="0" l="0" r="0" t="0"/>
                        <wp:docPr descr="image" title="" id="123" name="Picture"/>
                        <a:graphic>
                          <a:graphicData uri="http://schemas.openxmlformats.org/drawingml/2006/picture">
                            <pic:pic>
                              <pic:nvPicPr>
                                <pic:cNvPr descr="figures/MFeat/param_trajectory_MFeat.png" id="124" name="Picture"/>
                                <pic:cNvPicPr>
                                  <a:picLocks noChangeArrowheads="1" noChangeAspect="1"/>
                                </pic:cNvPicPr>
                              </pic:nvPicPr>
                              <pic:blipFill>
                                <a:blip r:embed="rId122"/>
                                <a:stretch>
                                  <a:fillRect/>
                                </a:stretch>
                              </pic:blipFill>
                              <pic:spPr bwMode="auto">
                                <a:xfrm>
                                  <a:off x="0" y="0"/>
                                  <a:ext cx="1383030" cy="758435"/>
                                </a:xfrm>
                                <a:prstGeom prst="rect">
                                  <a:avLst/>
                                </a:prstGeom>
                                <a:noFill/>
                                <a:ln w="9525">
                                  <a:noFill/>
                                  <a:headEnd/>
                                  <a:tailEnd/>
                                </a:ln>
                              </pic:spPr>
                            </pic:pic>
                          </a:graphicData>
                        </a:graphic>
                      </wp:inline>
                    </w:drawing>
                  </w:r>
                </w:p>
              </w:tc>
              <w:tc>
                <w:tcPr>
                  <w:tcW w:type="dxa" w:w="2298"/>
                </w:tcPr>
                <w:p>
                  <w:pPr>
                    <w:pStyle w:val="Compact"/>
                    <w:jc w:val="center"/>
                    <w:jc w:val="center"/>
                  </w:pPr>
                  <w:r>
                    <w:drawing>
                      <wp:inline>
                        <wp:extent cx="1383030" cy="758435"/>
                        <wp:effectExtent b="0" l="0" r="0" t="0"/>
                        <wp:docPr descr="image" title="" id="126" name="Picture"/>
                        <a:graphic>
                          <a:graphicData uri="http://schemas.openxmlformats.org/drawingml/2006/picture">
                            <pic:pic>
                              <pic:nvPicPr>
                                <pic:cNvPr descr="figures/COIL20/param_trajectory_COIL20.png" id="127" name="Picture"/>
                                <pic:cNvPicPr>
                                  <a:picLocks noChangeArrowheads="1" noChangeAspect="1"/>
                                </pic:cNvPicPr>
                              </pic:nvPicPr>
                              <pic:blipFill>
                                <a:blip r:embed="rId125"/>
                                <a:stretch>
                                  <a:fillRect/>
                                </a:stretch>
                              </pic:blipFill>
                              <pic:spPr bwMode="auto">
                                <a:xfrm>
                                  <a:off x="0" y="0"/>
                                  <a:ext cx="1383030" cy="758435"/>
                                </a:xfrm>
                                <a:prstGeom prst="rect">
                                  <a:avLst/>
                                </a:prstGeom>
                                <a:noFill/>
                                <a:ln w="9525">
                                  <a:noFill/>
                                  <a:headEnd/>
                                  <a:tailEnd/>
                                </a:ln>
                              </pic:spPr>
                            </pic:pic>
                          </a:graphicData>
                        </a:graphic>
                      </wp:inline>
                    </w:drawing>
                  </w:r>
                </w:p>
              </w:tc>
            </w:tr>
            <w:tr>
              <w:tc>
                <w:tcPr>
                  <w:tcW w:type="dxa" w:w="2298"/>
                </w:tcPr>
                <w:p>
                  <w:pPr>
                    <w:pStyle w:val="Compact"/>
                    <w:jc w:val="center"/>
                    <w:jc w:val="center"/>
                  </w:pPr>
                  <w:r>
                    <w:t xml:space="preserve">(c) Trajectory — MFeat</w:t>
                  </w:r>
                </w:p>
              </w:tc>
              <w:tc>
                <w:tcPr>
                  <w:tcW w:type="dxa" w:w="2298"/>
                </w:tcPr>
                <w:p>
                  <w:pPr>
                    <w:pStyle w:val="Compact"/>
                    <w:jc w:val="center"/>
                    <w:jc w:val="center"/>
                  </w:pPr>
                  <w:r>
                    <w:t xml:space="preserve">(d) Trajectory — COIL-20</w:t>
                  </w:r>
                </w:p>
              </w:tc>
            </w:tr>
          </w:tbl>
          <w:p/>
        </w:tc>
      </w:tr>
    </w:tbl>
    <w:p>
      <w:pPr>
        <w:pStyle w:val="ImageCaption"/>
        <w:jc w:val="center"/>
      </w:pPr>
      <w:r>
        <w:rPr>
          <w:rFonts w:ascii="Times New Roman" w:hAnsi="Times New Roman" w:cs="Times New Roman"/>
          <w:color w:val="000000"/>
          <w:sz w:val="20"/>
        </w:rPr>
        <w:t xml:space="preserve">Fig. 10. </w:t>
      </w:r>
      <w:r>
        <w:rPr>
          <w:rFonts w:ascii="Times New Roman" w:hAnsi="Times New Roman" w:cs="Times New Roman"/>
          <w:color w:val="000000"/>
          <w:sz w:val="20"/>
        </w:rPr>
        <w:t xml:space="preserve">DE optimization dynamics: convergence curves (top) and parameter trajectories (bottom). The horizontal axis concatenates the</w:t>
      </w:r>
      <w:r>
        <w:rPr>
          <w:rFonts w:ascii="Times New Roman" w:hAnsi="Times New Roman" w:cs="Times New Roman"/>
          <w:color w:val="000000"/>
          <w:sz w:val="20"/>
        </w:rPr>
        <w:t xml:space="preserve"> </w:t>
      </w:r>
      <m:oMath>
        <m:r>
          <m:t>R</m:t>
        </m:r>
        <m:r>
          <m:rPr>
            <m:sty m:val="p"/>
          </m:rPr>
          <m:t>=</m:t>
        </m:r>
        <m:r>
          <m:t>2</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restarts, so it runs past</w:t>
      </w:r>
      <w:r>
        <w:rPr>
          <w:rFonts w:ascii="Times New Roman" w:hAnsi="Times New Roman" w:cs="Times New Roman"/>
          <w:color w:val="000000"/>
          <w:sz w:val="20"/>
        </w:rPr>
        <w:t xml:space="preserve"> </w:t>
      </w:r>
      <m:oMath>
        <m:r>
          <m:t>G</m:t>
        </m:r>
        <m:r>
          <m:rPr>
            <m:sty m:val="p"/>
          </m:rPr>
          <m:t>=</m:t>
        </m:r>
        <m:r>
          <m:t>8</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generations; Nelder–Mead then refines the best candidate.</w:t>
      </w:r>
    </w:p>
    <w:bookmarkEnd w:id="128"/>
    <w:bookmarkEnd w:id="129"/>
    <w:bookmarkStart w:id="136" w:name="ablation-study"/>
    <w:p>
      <w:pPr>
        <w:pStyle w:val="Heading2"/>
        <w:jc w:val="left"/>
      </w:pPr>
      <w:r>
        <w:rPr>
          <w:rFonts w:ascii="Times New Roman" w:hAnsi="Times New Roman" w:cs="Times New Roman"/>
          <w:b/>
          <w:color w:val="C00000"/>
          <w:sz w:val="22"/>
        </w:rPr>
        <w:t>Ablation Study</w:t>
      </w:r>
    </w:p>
    <w:p>
      <w:pPr>
        <w:pStyle w:val="FirstParagraph"/>
        <w:spacing w:before="0" w:after="0" w:line="240" w:lineRule="auto"/>
        <w:ind w:firstLine="330"/>
        <w:jc w:val="both"/>
      </w:pPr>
      <w:r>
        <w:rPr>
          <w:color w:val="C00000"/>
        </w:rPr>
        <w:t xml:space="preserve">Table </w:t>
      </w:r>
      <w:hyperlink w:anchor="tab:ablation">
        <w:r>
          <w:rPr>
            <w:rStyle w:val="Hyperlink"/>
          </w:rPr>
          <w:t xml:space="preserve">14</w:t>
        </w:r>
      </w:hyperlink>
      <w:r>
        <w:rPr>
          <w:color w:val="C00000"/>
        </w:rPr>
        <w:t xml:space="preserve"> </w:t>
      </w:r>
      <w:r>
        <w:rPr>
          <w:color w:val="C00000"/>
        </w:rPr>
        <w:t xml:space="preserve">isolates the contribution of every DEAC component.</w:t>
      </w:r>
    </w:p>
    <w:bookmarkStart w:id="130" w:name="tab:ablation"/>
    <w:p>
      <w:pPr>
        <w:pStyle w:val="TableCaption"/>
        <w:jc w:val="center"/>
      </w:pPr>
      <w:r>
        <w:rPr>
          <w:rFonts w:ascii="Times New Roman" w:hAnsi="Times New Roman" w:cs="Times New Roman"/>
          <w:color w:val="000000"/>
          <w:sz w:val="20"/>
        </w:rPr>
        <w:t xml:space="preserve">Table 14. </w:t>
      </w:r>
      <w:r>
        <w:rPr>
          <w:rFonts w:ascii="Times New Roman" w:hAnsi="Times New Roman" w:cs="Times New Roman"/>
          <w:color w:val="000000"/>
          <w:sz w:val="20"/>
        </w:rPr>
        <w:t xml:space="preserve">Ablation: mean ARI across 12 datasets (canonical, 5 seeds). DEAC is the deployable gate; the oracle is the label-aware upper bound.</w:t>
      </w:r>
    </w:p>
    <w:tbl>
      <w:tblPr>
        <w:tblStyle w:val="Table"/>
        <w:tblW w:type="dxa" w:w="4596"/>
        <w:tblLook w:firstRow="1" w:lastRow="0" w:firstColumn="0" w:lastColumn="0" w:noHBand="0" w:noVBand="0" w:val="0020"/>
        <w:tblCaption w:val="Ablation: mean ARI across 12 datasets (canonical, 5 seeds). DEAC is the deployable gate; the oracle is the label-aware upper bound."/>
        <w:tblLayout w:type="fixed"/>
      </w:tblPr>
      <w:tblGrid>
        <w:gridCol w:w="1532"/>
        <w:gridCol w:w="1532"/>
        <w:gridCol w:w="1532"/>
      </w:tblGrid>
      <w:tr>
        <w:trPr>
          <w:tblHeader w:val="on"/>
        </w:trPr>
        <w:tc>
          <w:tcPr>
            <w:tcW w:type="dxa" w:w="1532"/>
          </w:tcPr>
          <w:p>
            <w:pPr>
              <w:pStyle w:val="Compact"/>
              <w:jc w:val="left"/>
            </w:pPr>
            <w:r>
              <w:t xml:space="preserve">Configuration</w:t>
            </w:r>
          </w:p>
        </w:tc>
        <w:tc>
          <w:tcPr>
            <w:tcW w:type="dxa" w:w="1532"/>
          </w:tcPr>
          <w:p>
            <w:pPr>
              <w:pStyle w:val="Compact"/>
              <w:jc w:val="center"/>
            </w:pPr>
            <w:r>
              <w:t xml:space="preserve">Mean ARI</w:t>
            </w:r>
          </w:p>
        </w:tc>
        <w:tc>
          <w:tcPr>
            <w:tcW w:type="dxa" w:w="1532"/>
          </w:tcPr>
          <w:p>
            <w:pPr>
              <w:pStyle w:val="Compact"/>
              <w:jc w:val="center"/>
            </w:pPr>
            <m:oMath>
              <m:r>
                <m:rPr>
                  <m:sty m:val="p"/>
                </m:rPr>
                <m:t>Δ</m:t>
              </m:r>
            </m:oMath>
            <w:r>
              <w:t xml:space="preserve"> </w:t>
            </w:r>
            <w:r>
              <w:t xml:space="preserve">vs. PCA</w:t>
            </w:r>
          </w:p>
        </w:tc>
      </w:tr>
      <w:tr>
        <w:tc>
          <w:tcPr>
            <w:tcW w:type="dxa" w:w="1532"/>
          </w:tcPr>
          <w:p>
            <w:pPr>
              <w:pStyle w:val="Compact"/>
              <w:jc w:val="left"/>
            </w:pPr>
            <w:r>
              <w:t xml:space="preserve">PCA Baseline (no optim.)</w:t>
            </w:r>
            <m:oMath>
              <m:sSup>
                <m:e>
                  <m:r>
                    <m:t>​</m:t>
                  </m:r>
                </m:e>
                <m:sup>
                  <m:r>
                    <m:rPr>
                      <m:sty m:val="p"/>
                    </m:rPr>
                    <m:t>‡</m:t>
                  </m:r>
                </m:sup>
              </m:sSup>
            </m:oMath>
          </w:p>
        </w:tc>
        <w:tc>
          <w:tcPr>
            <w:tcW w:type="dxa" w:w="1532"/>
          </w:tcPr>
          <w:p>
            <w:pPr>
              <w:pStyle w:val="Compact"/>
              <w:jc w:val="center"/>
            </w:pPr>
            <w:r>
              <w:t xml:space="preserve">0.326</w:t>
            </w:r>
          </w:p>
        </w:tc>
        <w:tc>
          <w:tcPr>
            <w:tcW w:type="dxa" w:w="1532"/>
          </w:tcPr>
          <w:p>
            <w:pPr>
              <w:pStyle w:val="Compact"/>
              <w:jc w:val="center"/>
            </w:pPr>
            <w:r>
              <w:t xml:space="preserve">—</w:t>
            </w:r>
          </w:p>
        </w:tc>
      </w:tr>
      <w:tr>
        <w:tc>
          <w:tcPr>
            <w:tcW w:type="dxa" w:w="1532"/>
          </w:tcPr>
          <w:p>
            <w:pPr>
              <w:pStyle w:val="Compact"/>
              <w:jc w:val="left"/>
            </w:pPr>
            <w:r>
              <w:t xml:space="preserve">UMAP Baseline (no optim.)</w:t>
            </w:r>
          </w:p>
        </w:tc>
        <w:tc>
          <w:tcPr>
            <w:tcW w:type="dxa" w:w="1532"/>
          </w:tcPr>
          <w:p>
            <w:pPr>
              <w:pStyle w:val="Compact"/>
              <w:jc w:val="center"/>
            </w:pPr>
            <w:r>
              <w:t xml:space="preserve">0.580</w:t>
            </w:r>
          </w:p>
        </w:tc>
        <w:tc>
          <w:tcPr>
            <w:tcW w:type="dxa" w:w="1532"/>
          </w:tcPr>
          <w:p>
            <w:pPr>
              <w:pStyle w:val="Compact"/>
              <w:jc w:val="center"/>
            </w:pPr>
            <w:r>
              <w:t xml:space="preserve">+77.9%</w:t>
            </w:r>
          </w:p>
        </w:tc>
      </w:tr>
      <w:tr>
        <w:tc>
          <w:tcPr>
            <w:tcW w:type="dxa" w:w="1532"/>
          </w:tcPr>
          <w:p>
            <w:pPr>
              <w:pStyle w:val="Compact"/>
              <w:jc w:val="left"/>
            </w:pPr>
            <w:r>
              <w:t xml:space="preserve">UMAP + DE (AMR-DE)</w:t>
            </w:r>
          </w:p>
        </w:tc>
        <w:tc>
          <w:tcPr>
            <w:tcW w:type="dxa" w:w="1532"/>
          </w:tcPr>
          <w:p>
            <w:pPr>
              <w:pStyle w:val="Compact"/>
              <w:jc w:val="center"/>
            </w:pPr>
            <w:r>
              <w:t xml:space="preserve">0.563</w:t>
            </w:r>
          </w:p>
        </w:tc>
        <w:tc>
          <w:tcPr>
            <w:tcW w:type="dxa" w:w="1532"/>
          </w:tcPr>
          <w:p>
            <w:pPr>
              <w:pStyle w:val="Compact"/>
              <w:jc w:val="center"/>
            </w:pPr>
            <w:r>
              <w:t xml:space="preserve">+72.7%</w:t>
            </w:r>
          </w:p>
        </w:tc>
      </w:tr>
      <w:tr>
        <w:tc>
          <w:tcPr>
            <w:tcW w:type="dxa" w:w="1532"/>
          </w:tcPr>
          <w:p>
            <w:pPr>
              <w:pStyle w:val="Compact"/>
              <w:jc w:val="left"/>
            </w:pPr>
            <w:r>
              <w:t xml:space="preserve">SNN + Leiden (EMR-CGC)</w:t>
            </w:r>
          </w:p>
        </w:tc>
        <w:tc>
          <w:tcPr>
            <w:tcW w:type="dxa" w:w="1532"/>
          </w:tcPr>
          <w:p>
            <w:pPr>
              <w:pStyle w:val="Compact"/>
              <w:jc w:val="center"/>
            </w:pPr>
            <w:r>
              <w:t xml:space="preserve">0.631</w:t>
            </w:r>
          </w:p>
        </w:tc>
        <w:tc>
          <w:tcPr>
            <w:tcW w:type="dxa" w:w="1532"/>
          </w:tcPr>
          <w:p>
            <w:pPr>
              <w:pStyle w:val="Compact"/>
              <w:jc w:val="center"/>
            </w:pPr>
            <w:r>
              <w:t xml:space="preserve">+93.6%</w:t>
            </w:r>
          </w:p>
        </w:tc>
      </w:tr>
      <w:tr>
        <w:tc>
          <w:tcPr>
            <w:tcW w:type="dxa" w:w="1532"/>
          </w:tcPr>
          <w:p>
            <w:pPr>
              <w:pStyle w:val="Compact"/>
              <w:jc w:val="left"/>
            </w:pPr>
            <w:r>
              <w:rPr>
                <w:b/>
                <w:bCs/>
              </w:rPr>
              <w:t xml:space="preserve">+ QualityGate (DEAC)</w:t>
            </w:r>
          </w:p>
        </w:tc>
        <w:tc>
          <w:tcPr>
            <w:tcW w:type="dxa" w:w="1532"/>
          </w:tcPr>
          <w:p>
            <w:pPr>
              <w:pStyle w:val="Compact"/>
              <w:jc w:val="center"/>
            </w:pPr>
            <w:r>
              <w:rPr>
                <w:b/>
                <w:bCs/>
              </w:rPr>
              <w:t xml:space="preserve">0.623</w:t>
            </w:r>
          </w:p>
        </w:tc>
        <w:tc>
          <w:tcPr>
            <w:tcW w:type="dxa" w:w="1532"/>
          </w:tcPr>
          <w:p>
            <w:pPr>
              <w:pStyle w:val="Compact"/>
              <w:jc w:val="center"/>
            </w:pPr>
            <w:r>
              <w:rPr>
                <w:b/>
                <w:bCs/>
              </w:rPr>
              <w:t xml:space="preserve">+91.1%</w:t>
            </w:r>
          </w:p>
        </w:tc>
      </w:tr>
      <w:tr>
        <w:tc>
          <w:tcPr>
            <w:tcW w:type="dxa" w:w="1532"/>
          </w:tcPr>
          <w:p>
            <w:pPr>
              <w:pStyle w:val="Compact"/>
              <w:jc w:val="left"/>
            </w:pPr>
            <w:r>
              <w:rPr>
                <w:i/>
                <w:iCs/>
              </w:rPr>
              <w:t xml:space="preserve">Oracle (upper bound)</w:t>
            </w:r>
          </w:p>
        </w:tc>
        <w:tc>
          <w:tcPr>
            <w:tcW w:type="dxa" w:w="1532"/>
          </w:tcPr>
          <w:p>
            <w:pPr>
              <w:pStyle w:val="Compact"/>
              <w:jc w:val="center"/>
            </w:pPr>
            <w:r>
              <w:rPr>
                <w:i/>
                <w:iCs/>
              </w:rPr>
              <w:t xml:space="preserve">0.646</w:t>
            </w:r>
          </w:p>
        </w:tc>
        <w:tc>
          <w:tcPr>
            <w:tcW w:type="dxa" w:w="1532"/>
          </w:tcPr>
          <w:p>
            <w:pPr>
              <w:pStyle w:val="Compact"/>
              <w:jc w:val="center"/>
            </w:pPr>
            <w:r>
              <w:rPr>
                <w:i/>
                <w:iCs/>
              </w:rPr>
              <w:t xml:space="preserve">+98.2%</w:t>
            </w:r>
          </w:p>
        </w:tc>
      </w:tr>
    </w:tbl>
    <w:bookmarkEnd w:id="130"/>
    <w:p>
      <w:pPr>
        <w:pStyle w:val="BodyText"/>
        <w:spacing w:before="0" w:after="0" w:line="240" w:lineRule="auto"/>
        <w:ind w:firstLine="330"/>
        <w:jc w:val="both"/>
      </w:pPr>
      <m:oMath>
        <m:sSup>
          <m:e>
            <m:r>
              <m:t>​</m:t>
            </m:r>
          </m:e>
          <m:sup>
            <m:r>
              <m:rPr>
                <m:sty m:val="p"/>
              </m:rPr>
              <m:t>‡</m:t>
            </m:r>
          </m:sup>
        </m:sSup>
      </m:oMath>
      <w:r>
        <w:rPr>
          <w:color w:val="C00000"/>
        </w:rPr>
        <w:t xml:space="preserve"> The PCA-stage value is from a preliminary single-seed run; a controlled single-variable ablation at matched budget is left to future work.</w:t>
      </w:r>
    </w:p>
    <w:p>
      <w:pPr>
        <w:pStyle w:val="BodyText"/>
        <w:spacing w:before="0" w:after="0" w:line="240" w:lineRule="auto"/>
        <w:ind w:firstLine="330"/>
        <w:jc w:val="both"/>
      </w:pPr>
      <w:r>
        <w:rPr>
          <w:color w:val="C00000"/>
        </w:rPr>
        <w:t xml:space="preserve">Four effects stand out. (i) Representation matters most: moving from PCA to UMAP</w:t>
      </w:r>
      <w:r>
        <w:rPr>
          <w:color w:val="C00000"/>
        </w:rPr>
        <w:t xml:space="preserve"> </w:t>
      </w:r>
      <w:r>
        <w:rPr>
          <w:color w:val="C00000"/>
        </w:rPr>
        <w:t xml:space="preserve">is the single largest improvement. (ii) The SNN–Leiden ensemble (EMR-CGC) is the</w:t>
      </w:r>
      <w:r>
        <w:rPr>
          <w:color w:val="C00000"/>
        </w:rPr>
        <w:t xml:space="preserve"> </w:t>
      </w:r>
      <w:r>
        <w:rPr>
          <w:color w:val="C00000"/>
        </w:rPr>
        <w:t xml:space="preserve">workhorse, reaching</w:t>
      </w:r>
      <w:r>
        <w:rPr>
          <w:color w:val="C00000"/>
        </w:rPr>
        <w:t xml:space="preserve"> </w:t>
      </w:r>
      <m:oMath>
        <m:r>
          <m:t>0.631</m:t>
        </m:r>
      </m:oMath>
      <w:r>
        <w:rPr>
          <w:color w:val="C00000"/>
        </w:rPr>
        <w:t xml:space="preserve">—the best deployable mean ARI in the table.</w:t>
      </w:r>
      <w:r>
        <w:rPr>
          <w:color w:val="C00000"/>
        </w:rPr>
        <w:t xml:space="preserve"> </w:t>
      </w:r>
      <w:r>
        <w:rPr>
          <w:color w:val="C00000"/>
        </w:rPr>
        <w:t xml:space="preserve">(iii) The optimizer AMR-DE, used alone, falls</w:t>
      </w:r>
      <w:r>
        <w:rPr>
          <w:color w:val="C00000"/>
        </w:rPr>
        <w:t xml:space="preserve"> </w:t>
      </w:r>
      <w:r>
        <w:rPr>
          <w:i/>
          <w:iCs/>
          <w:color w:val="C00000"/>
        </w:rPr>
        <w:t xml:space="preserve">below</w:t>
      </w:r>
      <w:r>
        <w:rPr>
          <w:color w:val="C00000"/>
        </w:rPr>
        <w:t xml:space="preserve"> </w:t>
      </w:r>
      <w:r>
        <w:rPr>
          <w:color w:val="C00000"/>
        </w:rPr>
        <w:t xml:space="preserve">the UMAP baseline</w:t>
      </w:r>
      <w:r>
        <w:rPr>
          <w:color w:val="C00000"/>
        </w:rPr>
        <w:t xml:space="preserve"> </w:t>
      </w:r>
      <w:r>
        <w:rPr>
          <w:color w:val="C00000"/>
        </w:rPr>
        <w:t xml:space="preserve">(</w:t>
      </w:r>
      <m:oMath>
        <m:r>
          <m:t>0.563</m:t>
        </m:r>
      </m:oMath>
      <w:r>
        <w:rPr>
          <w:color w:val="C00000"/>
        </w:rPr>
        <w:t xml:space="preserve"> </w:t>
      </w:r>
      <w:r>
        <w:rPr>
          <w:color w:val="C00000"/>
        </w:rPr>
        <w:t xml:space="preserve">vs. </w:t>
      </w:r>
      <m:oMath>
        <m:r>
          <m:t>0.580</m:t>
        </m:r>
      </m:oMath>
      <w:r>
        <w:rPr>
          <w:color w:val="C00000"/>
        </w:rPr>
        <w:t xml:space="preserve">)—a direct consequence of the internal–external</w:t>
      </w:r>
      <w:r>
        <w:rPr>
          <w:color w:val="C00000"/>
        </w:rPr>
        <w:t xml:space="preserve"> </w:t>
      </w:r>
      <w:r>
        <w:rPr>
          <w:color w:val="C00000"/>
        </w:rPr>
        <w:t xml:space="preserve">misalignment discussed in §</w:t>
      </w:r>
      <w:hyperlink w:anchor="sec:disc">
        <w:r>
          <w:rPr>
            <w:rStyle w:val="Hyperlink"/>
          </w:rPr>
          <w:t xml:space="preserve">5</w:t>
        </w:r>
      </w:hyperlink>
      <w:r>
        <w:rPr>
          <w:color w:val="C00000"/>
        </w:rPr>
        <w:t xml:space="preserve">. (iv) The QualityGate’s label-free</w:t>
      </w:r>
      <w:r>
        <w:rPr>
          <w:color w:val="C00000"/>
        </w:rPr>
        <w:t xml:space="preserve"> </w:t>
      </w:r>
      <w:r>
        <w:rPr>
          <w:color w:val="C00000"/>
        </w:rPr>
        <w:t xml:space="preserve">arbitration does not add accuracy: it reaches</w:t>
      </w:r>
      <w:r>
        <w:rPr>
          <w:color w:val="C00000"/>
        </w:rPr>
        <w:t xml:space="preserve"> </w:t>
      </w:r>
      <m:oMath>
        <m:r>
          <m:t>0.623</m:t>
        </m:r>
      </m:oMath>
      <w:r>
        <w:rPr>
          <w:color w:val="C00000"/>
        </w:rPr>
        <w:t xml:space="preserve">,</w:t>
      </w:r>
      <w:r>
        <w:rPr>
          <w:color w:val="C00000"/>
        </w:rPr>
        <w:t xml:space="preserve"> </w:t>
      </w:r>
      <w:r>
        <w:rPr>
          <w:i/>
          <w:iCs/>
          <w:color w:val="C00000"/>
        </w:rPr>
        <w:t xml:space="preserve">below</w:t>
      </w:r>
      <w:r>
        <w:rPr>
          <w:color w:val="C00000"/>
        </w:rPr>
        <w:t xml:space="preserve"> </w:t>
      </w:r>
      <w:r>
        <w:rPr>
          <w:color w:val="C00000"/>
        </w:rPr>
        <w:t xml:space="preserve">EMR-CGC</w:t>
      </w:r>
      <w:r>
        <w:rPr>
          <w:color w:val="C00000"/>
        </w:rPr>
        <w:t xml:space="preserve"> </w:t>
      </w:r>
      <w:r>
        <w:rPr>
          <w:color w:val="C00000"/>
        </w:rPr>
        <w:t xml:space="preserve">alone, trading a small mean-ARI cost for protection against the optimizer’s worst</w:t>
      </w:r>
      <w:r>
        <w:rPr>
          <w:color w:val="C00000"/>
        </w:rPr>
        <w:t xml:space="preserve"> </w:t>
      </w:r>
      <w:r>
        <w:rPr>
          <w:color w:val="C00000"/>
        </w:rPr>
        <w:t xml:space="preserve">single-engine failures. The framework’s accuracy therefore comes from the</w:t>
      </w:r>
      <w:r>
        <w:rPr>
          <w:color w:val="C00000"/>
        </w:rPr>
        <w:t xml:space="preserve"> </w:t>
      </w:r>
      <w:r>
        <w:rPr>
          <w:color w:val="C00000"/>
        </w:rPr>
        <w:t xml:space="preserve">ensemble; the gate is a safety mechanism, and the label-aware oracle (</w:t>
      </w:r>
      <m:oMath>
        <m:r>
          <m:t>0.646</m:t>
        </m:r>
      </m:oMath>
      <w:r>
        <w:rPr>
          <w:color w:val="C00000"/>
        </w:rPr>
        <w:t xml:space="preserve">)</w:t>
      </w:r>
      <w:r>
        <w:rPr>
          <w:color w:val="C00000"/>
        </w:rPr>
        <w:t xml:space="preserve"> </w:t>
      </w:r>
      <w:r>
        <w:rPr>
          <w:color w:val="C00000"/>
        </w:rPr>
        <w:t xml:space="preserve">marks the ceiling any label-free selector would need to reach.</w:t>
      </w:r>
      <w:r>
        <w:rPr>
          <w:color w:val="C00000"/>
        </w:rPr>
        <w:t xml:space="preserve"> </w:t>
      </w:r>
      <w:r>
        <w:rPr>
          <w:color w:val="C00000"/>
        </w:rPr>
        <w:t xml:space="preserve">Fig. </w:t>
      </w:r>
      <w:hyperlink w:anchor="fig:phase_waterfall">
        <w:r>
          <w:rPr>
            <w:rStyle w:val="Hyperlink"/>
          </w:rPr>
          <w:t xml:space="preserve">11</w:t>
        </w:r>
      </w:hyperlink>
      <w:r>
        <w:rPr>
          <w:color w:val="C00000"/>
        </w:rPr>
        <w:t xml:space="preserve"> </w:t>
      </w:r>
      <w:r>
        <w:rPr>
          <w:color w:val="C00000"/>
        </w:rPr>
        <w:t xml:space="preserve">stacks these increments as a waterfall.</w:t>
      </w:r>
    </w:p>
    <w:p>
      <w:pPr>
        <w:pStyle w:val="BodyText"/>
        <w:spacing w:before="0" w:after="0" w:line="240" w:lineRule="auto"/>
        <w:ind w:firstLine="330"/>
        <w:jc w:val="both"/>
      </w:pPr>
      <w:r>
        <w:rPr>
          <w:color w:val="C00000"/>
        </w:rPr>
        <w:t xml:space="preserve">Because the progression above changes several factors at once, we also vary each</w:t>
      </w:r>
      <w:r>
        <w:rPr>
          <w:color w:val="C00000"/>
        </w:rPr>
        <w:t xml:space="preserve"> </w:t>
      </w:r>
      <w:r>
        <w:rPr>
          <w:color w:val="C00000"/>
        </w:rPr>
        <w:t xml:space="preserve">component</w:t>
      </w:r>
      <w:r>
        <w:rPr>
          <w:color w:val="C00000"/>
        </w:rPr>
        <w:t xml:space="preserve"> </w:t>
      </w:r>
      <w:r>
        <w:rPr>
          <w:i/>
          <w:iCs/>
          <w:color w:val="C00000"/>
        </w:rPr>
        <w:t xml:space="preserve">singly</w:t>
      </w:r>
      <w:r>
        <w:rPr>
          <w:color w:val="C00000"/>
        </w:rPr>
        <w:t xml:space="preserve"> </w:t>
      </w:r>
      <w:r>
        <w:rPr>
          <w:color w:val="C00000"/>
        </w:rPr>
        <w:t xml:space="preserve">at a matched budget (Table </w:t>
      </w:r>
      <w:hyperlink w:anchor="tab:controlled">
        <w:r>
          <w:rPr>
            <w:rStyle w:val="Hyperlink"/>
          </w:rPr>
          <w:t xml:space="preserve">15</w:t>
        </w:r>
      </w:hyperlink>
      <w:r>
        <w:rPr>
          <w:color w:val="C00000"/>
        </w:rPr>
        <w:t xml:space="preserve">). The</w:t>
      </w:r>
      <w:r>
        <w:rPr>
          <w:color w:val="C00000"/>
        </w:rPr>
        <w:t xml:space="preserve"> </w:t>
      </w:r>
      <w:r>
        <w:rPr>
          <w:color w:val="C00000"/>
        </w:rPr>
        <w:t xml:space="preserve">representation dominates—PCA</w:t>
      </w:r>
      <m:oMath>
        <m:r>
          <m:rPr>
            <m:sty m:val="p"/>
          </m:rPr>
          <m:t>→</m:t>
        </m:r>
      </m:oMath>
      <w:r>
        <w:rPr>
          <w:color w:val="C00000"/>
        </w:rPr>
        <w:t xml:space="preserve">UMAP adds</w:t>
      </w:r>
      <w:r>
        <w:rPr>
          <w:color w:val="C00000"/>
        </w:rPr>
        <w:t xml:space="preserve"> </w:t>
      </w:r>
      <m:oMath>
        <m:r>
          <m:rPr>
            <m:sty m:val="p"/>
          </m:rPr>
          <m:t>+</m:t>
        </m:r>
        <m:r>
          <m:t>0.251</m:t>
        </m:r>
      </m:oMath>
      <w:r>
        <w:rPr>
          <w:color w:val="C00000"/>
        </w:rPr>
        <w:t xml:space="preserve"> </w:t>
      </w:r>
      <w:r>
        <w:rPr>
          <w:color w:val="C00000"/>
        </w:rPr>
        <w:t xml:space="preserve">mean ARI—whereas switching</w:t>
      </w:r>
      <w:r>
        <w:rPr>
          <w:color w:val="C00000"/>
        </w:rPr>
        <w:t xml:space="preserve"> </w:t>
      </w:r>
      <w:r>
        <w:rPr>
          <w:color w:val="C00000"/>
        </w:rPr>
        <w:t xml:space="preserve">the community detector (Louvain</w:t>
      </w:r>
      <m:oMath>
        <m:r>
          <m:rPr>
            <m:sty m:val="p"/>
          </m:rPr>
          <m:t>→</m:t>
        </m:r>
      </m:oMath>
      <w:r>
        <w:rPr>
          <w:color w:val="C00000"/>
        </w:rPr>
        <w:t xml:space="preserve">Leiden,</w:t>
      </w:r>
      <w:r>
        <w:rPr>
          <w:color w:val="C00000"/>
        </w:rPr>
        <w:t xml:space="preserve"> </w:t>
      </w:r>
      <m:oMath>
        <m:r>
          <m:rPr>
            <m:sty m:val="p"/>
          </m:rPr>
          <m:t>−</m:t>
        </m:r>
        <m:r>
          <m:t>0.003</m:t>
        </m:r>
      </m:oMath>
      <w:r>
        <w:rPr>
          <w:color w:val="C00000"/>
        </w:rPr>
        <w:t xml:space="preserve">) or the edge weighting</w:t>
      </w:r>
      <w:r>
        <w:rPr>
          <w:color w:val="C00000"/>
        </w:rPr>
        <w:t xml:space="preserve"> </w:t>
      </w:r>
      <w:r>
        <w:rPr>
          <w:color w:val="C00000"/>
        </w:rPr>
        <w:t xml:space="preserve">(KNN</w:t>
      </w:r>
      <m:oMath>
        <m:r>
          <m:rPr>
            <m:sty m:val="p"/>
          </m:rPr>
          <m:t>→</m:t>
        </m:r>
      </m:oMath>
      <w:r>
        <w:rPr>
          <w:color w:val="C00000"/>
        </w:rPr>
        <w:t xml:space="preserve">SNN,</w:t>
      </w:r>
      <w:r>
        <w:rPr>
          <w:color w:val="C00000"/>
        </w:rPr>
        <w:t xml:space="preserve"> </w:t>
      </w:r>
      <m:oMath>
        <m:r>
          <m:rPr>
            <m:sty m:val="p"/>
          </m:rPr>
          <m:t>−</m:t>
        </m:r>
        <m:r>
          <m:t>0.010</m:t>
        </m:r>
      </m:oMath>
      <w:r>
        <w:rPr>
          <w:color w:val="C00000"/>
        </w:rPr>
        <w:t xml:space="preserve">) changes little on average. DEAC’s accuracy therefore comes</w:t>
      </w:r>
      <w:r>
        <w:rPr>
          <w:color w:val="C00000"/>
        </w:rPr>
        <w:t xml:space="preserve"> </w:t>
      </w:r>
      <w:r>
        <w:rPr>
          <w:color w:val="C00000"/>
        </w:rPr>
        <w:t xml:space="preserve">from the UMAP representation and the ensemble, not from Leiden or SNN</w:t>
      </w:r>
      <w:r>
        <w:rPr>
          <w:color w:val="C00000"/>
        </w:rPr>
        <w:t xml:space="preserve"> </w:t>
      </w:r>
      <w:r>
        <w:rPr>
          <w:i/>
          <w:iCs/>
          <w:color w:val="C00000"/>
        </w:rPr>
        <w:t xml:space="preserve">per se</w:t>
      </w:r>
      <w:r>
        <w:rPr>
          <w:color w:val="C00000"/>
        </w:rPr>
        <w:t xml:space="preserve">;</w:t>
      </w:r>
      <w:r>
        <w:rPr>
          <w:color w:val="C00000"/>
        </w:rPr>
        <w:t xml:space="preserve"> </w:t>
      </w:r>
      <w:r>
        <w:rPr>
          <w:color w:val="C00000"/>
        </w:rPr>
        <w:t xml:space="preserve">SNN’s benefit is confined to the high-dimensional datasets (§</w:t>
      </w:r>
      <w:hyperlink w:anchor="sec:disc">
        <w:r>
          <w:rPr>
            <w:rStyle w:val="Hyperlink"/>
          </w:rPr>
          <w:t xml:space="preserve">5</w:t>
        </w:r>
      </w:hyperlink>
      <w:r>
        <w:rPr>
          <w:color w:val="C00000"/>
        </w:rPr>
        <w:t xml:space="preserve">), so</w:t>
      </w:r>
      <w:r>
        <w:rPr>
          <w:color w:val="C00000"/>
        </w:rPr>
        <w:t xml:space="preserve"> </w:t>
      </w:r>
      <w:r>
        <w:rPr>
          <w:color w:val="C00000"/>
        </w:rPr>
        <w:t xml:space="preserve">the ensemble gain cannot be attributed to SNN weighting alone. Accuracy gains are</w:t>
      </w:r>
      <w:r>
        <w:rPr>
          <w:color w:val="C00000"/>
        </w:rPr>
        <w:t xml:space="preserve"> </w:t>
      </w:r>
      <w:r>
        <w:rPr>
          <w:color w:val="C00000"/>
        </w:rPr>
        <w:t xml:space="preserve">only useful if the method remains affordable.</w:t>
      </w:r>
    </w:p>
    <w:bookmarkStart w:id="131" w:name="tab:controlled"/>
    <w:p>
      <w:pPr>
        <w:pStyle w:val="TableCaption"/>
        <w:jc w:val="center"/>
      </w:pPr>
      <w:r>
        <w:rPr>
          <w:rFonts w:ascii="Times New Roman" w:hAnsi="Times New Roman" w:cs="Times New Roman"/>
          <w:color w:val="000000"/>
          <w:sz w:val="20"/>
        </w:rPr>
        <w:t xml:space="preserve">Table 15. </w:t>
      </w:r>
      <w:r>
        <w:rPr>
          <w:rFonts w:ascii="Times New Roman" w:hAnsi="Times New Roman" w:cs="Times New Roman"/>
          <w:color w:val="000000"/>
          <w:sz w:val="20"/>
        </w:rPr>
        <w:t xml:space="preserve">Controlled single-variable ablation (mean ARI, 12 datasets, 5 seeds, same budget</w:t>
      </w:r>
      <w:r>
        <w:rPr>
          <w:rFonts w:ascii="Times New Roman" w:hAnsi="Times New Roman" w:cs="Times New Roman"/>
          <w:color w:val="000000"/>
          <w:sz w:val="20"/>
        </w:rPr>
        <w:t xml:space="preserve"> </w:t>
      </w:r>
      <m:oMath>
        <m:r>
          <m:t>k</m:t>
        </m:r>
        <m:r>
          <m:rPr>
            <m:sty m:val="p"/>
          </m:rPr>
          <m:t>=</m:t>
        </m:r>
        <m:r>
          <m:t>35</m:t>
        </m:r>
      </m:oMath>
      <w:r>
        <w:rPr>
          <w:rFonts w:ascii="Times New Roman" w:hAnsi="Times New Roman" w:cs="Times New Roman"/>
          <w:color w:val="000000"/>
          <w:sz w:val="20"/>
        </w:rPr>
        <w:t xml:space="preserve">,</w:t>
      </w:r>
      <w:r>
        <w:rPr>
          <w:rFonts w:ascii="Times New Roman" w:hAnsi="Times New Roman" w:cs="Times New Roman"/>
          <w:color w:val="000000"/>
          <w:sz w:val="20"/>
        </w:rPr>
        <w:t xml:space="preserve"> </w:t>
      </w:r>
      <m:oMath>
        <m:r>
          <m:t>r</m:t>
        </m:r>
        <m:r>
          <m:rPr>
            <m:sty m:val="p"/>
          </m:rPr>
          <m:t>=</m:t>
        </m:r>
        <m:r>
          <m:t>0.25</m:t>
        </m:r>
      </m:oMath>
      <w:r>
        <w:rPr>
          <w:rFonts w:ascii="Times New Roman" w:hAnsi="Times New Roman" w:cs="Times New Roman"/>
          <w:color w:val="000000"/>
          <w:sz w:val="20"/>
        </w:rPr>
        <w:t xml:space="preserve">). Each row changes exactly one component from the row above, so the</w:t>
      </w:r>
      <w:r>
        <w:rPr>
          <w:rFonts w:ascii="Times New Roman" w:hAnsi="Times New Roman" w:cs="Times New Roman"/>
          <w:color w:val="000000"/>
          <w:sz w:val="20"/>
        </w:rPr>
        <w:t xml:space="preserve"> </w:t>
      </w:r>
      <m:oMath>
        <m:r>
          <m:rPr>
            <m:sty m:val="p"/>
          </m:rPr>
          <m:t>Δ</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isolates that factor.</w:t>
      </w:r>
    </w:p>
    <w:tbl>
      <w:tblPr>
        <w:tblStyle w:val="Table"/>
        <w:tblW w:type="dxa" w:w="4596"/>
        <w:tblLook w:firstRow="1" w:lastRow="0" w:firstColumn="0" w:lastColumn="0" w:noHBand="0" w:noVBand="0" w:val="0020"/>
        <w:tblCaption w:val="Controlled single-variable ablation (mean ARI, 12 datasets, 5 seeds, same budget k{=}35, r{=}0.25). Each row changes exactly one component from the row above, so the \Delta isolates that factor."/>
        <w:tblLayout w:type="fixed"/>
      </w:tblPr>
      <w:tblGrid>
        <w:gridCol w:w="1532"/>
        <w:gridCol w:w="1532"/>
        <w:gridCol w:w="1532"/>
      </w:tblGrid>
      <w:tr>
        <w:trPr>
          <w:tblHeader w:val="on"/>
        </w:trPr>
        <w:tc>
          <w:tcPr>
            <w:tcW w:type="dxa" w:w="1532"/>
          </w:tcPr>
          <w:p>
            <w:pPr>
              <w:pStyle w:val="Compact"/>
              <w:jc w:val="left"/>
            </w:pPr>
            <w:r>
              <w:t xml:space="preserve">Configuration</w:t>
            </w:r>
          </w:p>
        </w:tc>
        <w:tc>
          <w:tcPr>
            <w:tcW w:type="dxa" w:w="1532"/>
          </w:tcPr>
          <w:p>
            <w:pPr>
              <w:pStyle w:val="Compact"/>
              <w:jc w:val="left"/>
            </w:pPr>
            <w:r>
              <w:t xml:space="preserve">Varied</w:t>
            </w:r>
          </w:p>
        </w:tc>
        <w:tc>
          <w:tcPr>
            <w:tcW w:type="dxa" w:w="1532"/>
          </w:tcPr>
          <w:p>
            <w:pPr>
              <w:pStyle w:val="Compact"/>
              <w:jc w:val="center"/>
            </w:pPr>
            <w:r>
              <w:t xml:space="preserve">Mean ARI (</w:t>
            </w:r>
            <m:oMath>
              <m:r>
                <m:rPr>
                  <m:sty m:val="p"/>
                </m:rPr>
                <m:t>Δ</m:t>
              </m:r>
            </m:oMath>
            <w:r>
              <w:t xml:space="preserve">)</w:t>
            </w:r>
          </w:p>
        </w:tc>
      </w:tr>
      <w:tr>
        <w:tc>
          <w:tcPr>
            <w:tcW w:type="dxa" w:w="1532"/>
          </w:tcPr>
          <w:p>
            <w:pPr>
              <w:pStyle w:val="Compact"/>
              <w:jc w:val="left"/>
            </w:pPr>
            <w:r>
              <w:t xml:space="preserve">PCA + KNN + Louvain</w:t>
            </w:r>
          </w:p>
        </w:tc>
        <w:tc>
          <w:tcPr>
            <w:tcW w:type="dxa" w:w="1532"/>
          </w:tcPr>
          <w:p>
            <w:pPr>
              <w:pStyle w:val="Compact"/>
              <w:jc w:val="left"/>
            </w:pPr>
            <w:r>
              <w:t xml:space="preserve">—</w:t>
            </w:r>
          </w:p>
        </w:tc>
        <w:tc>
          <w:tcPr>
            <w:tcW w:type="dxa" w:w="1532"/>
          </w:tcPr>
          <w:p>
            <w:pPr>
              <w:pStyle w:val="Compact"/>
              <w:jc w:val="center"/>
            </w:pPr>
            <w:r>
              <w:t xml:space="preserve">0.329</w:t>
            </w:r>
          </w:p>
        </w:tc>
      </w:tr>
      <w:tr>
        <w:tc>
          <w:tcPr>
            <w:tcW w:type="dxa" w:w="1532"/>
          </w:tcPr>
          <w:p>
            <w:pPr>
              <w:pStyle w:val="Compact"/>
              <w:jc w:val="left"/>
            </w:pPr>
            <w:r>
              <w:t xml:space="preserve">UMAP + KNN + Louvain</w:t>
            </w:r>
          </w:p>
        </w:tc>
        <w:tc>
          <w:tcPr>
            <w:tcW w:type="dxa" w:w="1532"/>
          </w:tcPr>
          <w:p>
            <w:pPr>
              <w:pStyle w:val="Compact"/>
              <w:jc w:val="left"/>
            </w:pPr>
            <w:r>
              <w:t xml:space="preserve">representation</w:t>
            </w:r>
          </w:p>
        </w:tc>
        <w:tc>
          <w:tcPr>
            <w:tcW w:type="dxa" w:w="1532"/>
          </w:tcPr>
          <w:p>
            <w:pPr>
              <w:pStyle w:val="Compact"/>
              <w:jc w:val="center"/>
            </w:pPr>
            <w:r>
              <w:t xml:space="preserve">0.580 (+0.251)</w:t>
            </w:r>
          </w:p>
        </w:tc>
      </w:tr>
      <w:tr>
        <w:tc>
          <w:tcPr>
            <w:tcW w:type="dxa" w:w="1532"/>
          </w:tcPr>
          <w:p>
            <w:pPr>
              <w:pStyle w:val="Compact"/>
              <w:jc w:val="left"/>
            </w:pPr>
            <w:r>
              <w:t xml:space="preserve">UMAP + KNN + Leiden</w:t>
            </w:r>
          </w:p>
        </w:tc>
        <w:tc>
          <w:tcPr>
            <w:tcW w:type="dxa" w:w="1532"/>
          </w:tcPr>
          <w:p>
            <w:pPr>
              <w:pStyle w:val="Compact"/>
              <w:jc w:val="left"/>
            </w:pPr>
            <w:r>
              <w:t xml:space="preserve">detector</w:t>
            </w:r>
          </w:p>
        </w:tc>
        <w:tc>
          <w:tcPr>
            <w:tcW w:type="dxa" w:w="1532"/>
          </w:tcPr>
          <w:p>
            <w:pPr>
              <w:pStyle w:val="Compact"/>
              <w:jc w:val="center"/>
            </w:pPr>
            <w:r>
              <w:t xml:space="preserve">0.577 (-0.003)</w:t>
            </w:r>
          </w:p>
        </w:tc>
      </w:tr>
      <w:tr>
        <w:tc>
          <w:tcPr>
            <w:tcW w:type="dxa" w:w="1532"/>
          </w:tcPr>
          <w:p>
            <w:pPr>
              <w:pStyle w:val="Compact"/>
              <w:jc w:val="left"/>
            </w:pPr>
            <w:r>
              <w:t xml:space="preserve">UMAP + SNN + Leiden</w:t>
            </w:r>
          </w:p>
        </w:tc>
        <w:tc>
          <w:tcPr>
            <w:tcW w:type="dxa" w:w="1532"/>
          </w:tcPr>
          <w:p>
            <w:pPr>
              <w:pStyle w:val="Compact"/>
              <w:jc w:val="left"/>
            </w:pPr>
            <w:r>
              <w:t xml:space="preserve">weighting</w:t>
            </w:r>
          </w:p>
        </w:tc>
        <w:tc>
          <w:tcPr>
            <w:tcW w:type="dxa" w:w="1532"/>
          </w:tcPr>
          <w:p>
            <w:pPr>
              <w:pStyle w:val="Compact"/>
              <w:jc w:val="center"/>
            </w:pPr>
            <w:r>
              <w:t xml:space="preserve">0.567 (-0.010)</w:t>
            </w:r>
          </w:p>
        </w:tc>
      </w:tr>
    </w:tbl>
    <w:bookmarkEnd w:id="131"/>
    <w:bookmarkStart w:id="135" w:name="fig:phase_waterfall"/>
    <w:p>
      <w:pPr>
        <w:pStyle w:val="CaptionedFigure"/>
      </w:pPr>
      <w:r>
        <w:drawing>
          <wp:inline>
            <wp:extent cx="2842895" cy="1542232"/>
            <wp:effectExtent b="0" l="0" r="0" t="0"/>
            <wp:docPr descr="" title="" id="133" name="Picture"/>
            <a:graphic>
              <a:graphicData uri="http://schemas.openxmlformats.org/drawingml/2006/picture">
                <pic:pic>
                  <pic:nvPicPr>
                    <pic:cNvPr descr="figures/cross_dataset/phase_waterfall.png" id="134" name="Picture"/>
                    <pic:cNvPicPr>
                      <a:picLocks noChangeArrowheads="1" noChangeAspect="1"/>
                    </pic:cNvPicPr>
                  </pic:nvPicPr>
                  <pic:blipFill>
                    <a:blip r:embed="rId132"/>
                    <a:stretch>
                      <a:fillRect/>
                    </a:stretch>
                  </pic:blipFill>
                  <pic:spPr bwMode="auto">
                    <a:xfrm>
                      <a:off x="0" y="0"/>
                      <a:ext cx="2842895" cy="1542232"/>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11. </w:t>
      </w:r>
      <w:r>
        <w:rPr>
          <w:rFonts w:ascii="Times New Roman" w:hAnsi="Times New Roman" w:cs="Times New Roman"/>
          <w:color w:val="000000"/>
          <w:sz w:val="20"/>
        </w:rPr>
        <w:t xml:space="preserve">Phase-by-phase contribution to mean ARI over 12 datasets. From the PCA baseline, UMAP representation and the SNN–Leiden ensemble (EMR-CGC) drive mean ARI to 0.631; the label-free QualityGate then</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reduces</w:t>
      </w:r>
      <w:r>
        <w:rPr>
          <w:rFonts w:ascii="Times New Roman" w:hAnsi="Times New Roman" w:cs="Times New Roman"/>
          <w:color w:val="000000"/>
          <w:sz w:val="20"/>
        </w:rPr>
        <w:t xml:space="preserve"> </w:t>
      </w:r>
      <w:r>
        <w:rPr>
          <w:rFonts w:ascii="Times New Roman" w:hAnsi="Times New Roman" w:cs="Times New Roman"/>
          <w:color w:val="000000"/>
          <w:sz w:val="20"/>
        </w:rPr>
        <w:t xml:space="preserve">it slightly to 0.623 (trading accuracy for safety), while the label-aware oracle marks the 0.646 upper bound.</w:t>
      </w:r>
    </w:p>
    <w:bookmarkEnd w:id="135"/>
    <w:bookmarkEnd w:id="136"/>
    <w:bookmarkStart w:id="138" w:name="computational-complexity"/>
    <w:p>
      <w:pPr>
        <w:pStyle w:val="Heading2"/>
        <w:jc w:val="left"/>
      </w:pPr>
      <w:r>
        <w:rPr>
          <w:rFonts w:ascii="Times New Roman" w:hAnsi="Times New Roman" w:cs="Times New Roman"/>
          <w:b/>
          <w:color w:val="C00000"/>
          <w:sz w:val="22"/>
        </w:rPr>
        <w:t>Computational Complexity</w:t>
      </w:r>
    </w:p>
    <w:p>
      <w:pPr>
        <w:pStyle w:val="FirstParagraph"/>
        <w:spacing w:before="0" w:after="0" w:line="240" w:lineRule="auto"/>
        <w:ind w:firstLine="330"/>
        <w:jc w:val="both"/>
      </w:pPr>
      <w:r>
        <w:rPr>
          <w:color w:val="C00000"/>
        </w:rPr>
        <w:t xml:space="preserve">Table </w:t>
      </w:r>
      <w:hyperlink w:anchor="tab:complexity">
        <w:r>
          <w:rPr>
            <w:rStyle w:val="Hyperlink"/>
          </w:rPr>
          <w:t xml:space="preserve">16</w:t>
        </w:r>
      </w:hyperlink>
      <w:r>
        <w:rPr>
          <w:color w:val="C00000"/>
        </w:rPr>
        <w:t xml:space="preserve"> </w:t>
      </w:r>
      <w:r>
        <w:rPr>
          <w:color w:val="C00000"/>
        </w:rPr>
        <w:t xml:space="preserve">summarizes the theoretical cost of each component.</w:t>
      </w:r>
    </w:p>
    <w:bookmarkStart w:id="137" w:name="tab:complexity"/>
    <w:p>
      <w:pPr>
        <w:pStyle w:val="TableCaption"/>
        <w:jc w:val="center"/>
      </w:pPr>
      <w:r>
        <w:rPr>
          <w:rFonts w:ascii="Times New Roman" w:hAnsi="Times New Roman" w:cs="Times New Roman"/>
          <w:color w:val="000000"/>
          <w:sz w:val="20"/>
        </w:rPr>
        <w:t xml:space="preserve">Table 16. </w:t>
      </w:r>
      <w:r>
        <w:rPr>
          <w:rFonts w:ascii="Times New Roman" w:hAnsi="Times New Roman" w:cs="Times New Roman"/>
          <w:color w:val="000000"/>
          <w:sz w:val="20"/>
        </w:rPr>
        <w:t xml:space="preserve">Computational complexity of DEAC components.</w:t>
      </w:r>
    </w:p>
    <w:tbl>
      <w:tblPr>
        <w:tblStyle w:val="Table"/>
        <w:tblW w:type="dxa" w:w="4596"/>
        <w:tblLook w:firstRow="1" w:lastRow="0" w:firstColumn="0" w:lastColumn="0" w:noHBand="0" w:noVBand="0" w:val="0020"/>
        <w:tblCaption w:val="Computational complexity of DEAC components."/>
        <w:tblLayout w:type="fixed"/>
      </w:tblPr>
      <w:tblGrid>
        <w:gridCol w:w="1532"/>
        <w:gridCol w:w="1532"/>
        <w:gridCol w:w="1532"/>
      </w:tblGrid>
      <w:tr>
        <w:trPr>
          <w:tblHeader w:val="on"/>
        </w:trPr>
        <w:tc>
          <w:tcPr>
            <w:tcW w:type="dxa" w:w="1532"/>
          </w:tcPr>
          <w:p>
            <w:pPr>
              <w:pStyle w:val="Compact"/>
              <w:jc w:val="left"/>
            </w:pPr>
            <w:r>
              <w:t xml:space="preserve">Component</w:t>
            </w:r>
          </w:p>
        </w:tc>
        <w:tc>
          <w:tcPr>
            <w:tcW w:type="dxa" w:w="1532"/>
          </w:tcPr>
          <w:p>
            <w:pPr>
              <w:pStyle w:val="Compact"/>
              <w:jc w:val="center"/>
            </w:pPr>
            <w:r>
              <w:t xml:space="preserve">Complexity</w:t>
            </w:r>
          </w:p>
        </w:tc>
        <w:tc>
          <w:tcPr>
            <w:tcW w:type="dxa" w:w="1532"/>
          </w:tcPr>
          <w:p>
            <w:pPr>
              <w:pStyle w:val="Compact"/>
              <w:jc w:val="center"/>
            </w:pPr>
            <w:r>
              <w:t xml:space="preserve">Typical Cost</w:t>
            </w:r>
          </w:p>
        </w:tc>
      </w:tr>
      <w:tr>
        <w:tc>
          <w:tcPr>
            <w:tcW w:type="dxa" w:w="1532"/>
          </w:tcPr>
          <w:p>
            <w:pPr>
              <w:pStyle w:val="Compact"/>
              <w:jc w:val="left"/>
            </w:pPr>
            <w:r>
              <w:t xml:space="preserve">StandardScaler</w:t>
            </w:r>
          </w:p>
        </w:tc>
        <w:tc>
          <w:tcPr>
            <w:tcW w:type="dxa" w:w="1532"/>
          </w:tcPr>
          <w:p>
            <w:pPr>
              <w:pStyle w:val="Compact"/>
              <w:jc w:val="center"/>
            </w:pPr>
            <m:oMath>
              <m:r>
                <m:rPr>
                  <m:scr m:val="script"/>
                  <m:sty m:val="p"/>
                </m:rPr>
                <m:t>O</m:t>
              </m:r>
              <m:r>
                <m:rPr>
                  <m:sty m:val="p"/>
                </m:rPr>
                <m:t>(</m:t>
              </m:r>
              <m:r>
                <m:t>n</m:t>
              </m:r>
              <m:r>
                <m:t>d</m:t>
              </m:r>
              <m:r>
                <m:rPr>
                  <m:sty m:val="p"/>
                </m:rPr>
                <m:t>)</m:t>
              </m:r>
            </m:oMath>
          </w:p>
        </w:tc>
        <w:tc>
          <w:tcPr>
            <w:tcW w:type="dxa" w:w="1532"/>
          </w:tcPr>
          <w:p>
            <w:pPr>
              <w:pStyle w:val="Compact"/>
              <w:jc w:val="center"/>
            </w:pPr>
            <w:r>
              <w:t xml:space="preserve">linear</w:t>
            </w:r>
          </w:p>
        </w:tc>
      </w:tr>
      <w:tr>
        <w:tc>
          <w:tcPr>
            <w:tcW w:type="dxa" w:w="1532"/>
          </w:tcPr>
          <w:p>
            <w:pPr>
              <w:pStyle w:val="Compact"/>
              <w:jc w:val="left"/>
            </w:pPr>
            <w:r>
              <w:t xml:space="preserve">PCA</w:t>
            </w:r>
          </w:p>
        </w:tc>
        <w:tc>
          <w:tcPr>
            <w:tcW w:type="dxa" w:w="1532"/>
          </w:tcPr>
          <w:p>
            <w:pPr>
              <w:pStyle w:val="Compact"/>
              <w:jc w:val="center"/>
            </w:pPr>
            <m:oMath>
              <m:r>
                <m:rPr>
                  <m:scr m:val="script"/>
                  <m:sty m:val="p"/>
                </m:rPr>
                <m:t>O</m:t>
              </m:r>
              <m:r>
                <m:rPr>
                  <m:sty m:val="p"/>
                </m:rPr>
                <m:t>(</m:t>
              </m:r>
              <m:r>
                <m:t>n</m:t>
              </m:r>
              <m:r>
                <m:t>d</m:t>
              </m:r>
              <m:r>
                <m:rPr>
                  <m:sty m:val="p"/>
                </m:rPr>
                <m:t>⋅</m:t>
              </m:r>
              <m:sSup>
                <m:e>
                  <m:r>
                    <m:t>d</m:t>
                  </m:r>
                </m:e>
                <m:sup>
                  <m:r>
                    <m:rPr>
                      <m:sty m:val="p"/>
                    </m:rPr>
                    <m:t>′</m:t>
                  </m:r>
                </m:sup>
              </m:sSup>
              <m:r>
                <m:rPr>
                  <m:sty m:val="p"/>
                </m:rPr>
                <m:t>)</m:t>
              </m:r>
            </m:oMath>
          </w:p>
        </w:tc>
        <w:tc>
          <w:tcPr>
            <w:tcW w:type="dxa" w:w="1532"/>
          </w:tcPr>
          <w:p>
            <w:pPr>
              <w:pStyle w:val="Compact"/>
              <w:jc w:val="center"/>
            </w:pPr>
            <m:oMath>
              <m:r>
                <m:rPr>
                  <m:scr m:val="script"/>
                  <m:sty m:val="p"/>
                </m:rPr>
                <m:t>O</m:t>
              </m:r>
              <m:r>
                <m:rPr>
                  <m:sty m:val="p"/>
                </m:rPr>
                <m:t>(</m:t>
              </m:r>
              <m:r>
                <m:t>n</m:t>
              </m:r>
              <m:r>
                <m:t>d</m:t>
              </m:r>
              <m:r>
                <m:rPr>
                  <m:sty m:val="p"/>
                </m:rPr>
                <m:t>⋅</m:t>
              </m:r>
              <m:r>
                <m:t>40</m:t>
              </m:r>
              <m:r>
                <m:rPr>
                  <m:sty m:val="p"/>
                </m:rPr>
                <m:t>)</m:t>
              </m:r>
            </m:oMath>
          </w:p>
        </w:tc>
      </w:tr>
      <w:tr>
        <w:tc>
          <w:tcPr>
            <w:tcW w:type="dxa" w:w="1532"/>
          </w:tcPr>
          <w:p>
            <w:pPr>
              <w:pStyle w:val="Compact"/>
              <w:jc w:val="left"/>
            </w:pPr>
            <w:r>
              <w:t xml:space="preserve">UMAP</w:t>
            </w:r>
          </w:p>
        </w:tc>
        <w:tc>
          <w:tcPr>
            <w:tcW w:type="dxa" w:w="1532"/>
          </w:tcPr>
          <w:p>
            <w:pPr>
              <w:pStyle w:val="Compact"/>
              <w:jc w:val="center"/>
            </w:pPr>
            <m:oMath>
              <m:r>
                <m:rPr>
                  <m:scr m:val="script"/>
                  <m:sty m:val="p"/>
                </m:rPr>
                <m:t>O</m:t>
              </m:r>
              <m:r>
                <m:rPr>
                  <m:sty m:val="p"/>
                </m:rPr>
                <m:t>(</m:t>
              </m:r>
              <m:sSup>
                <m:e>
                  <m:r>
                    <m:t>n</m:t>
                  </m:r>
                </m:e>
                <m:sup>
                  <m:r>
                    <m:t>1.14</m:t>
                  </m:r>
                </m:sup>
              </m:sSup>
              <m:sSup>
                <m:e>
                  <m:r>
                    <m:t>d</m:t>
                  </m:r>
                </m:e>
                <m:sup>
                  <m:r>
                    <m:rPr>
                      <m:sty m:val="p"/>
                    </m:rPr>
                    <m:t>′</m:t>
                  </m:r>
                </m:sup>
              </m:sSup>
              <m:r>
                <m:rPr>
                  <m:sty m:val="p"/>
                </m:rPr>
                <m:t>)</m:t>
              </m:r>
            </m:oMath>
          </w:p>
        </w:tc>
        <w:tc>
          <w:tcPr>
            <w:tcW w:type="dxa" w:w="1532"/>
          </w:tcPr>
          <w:p>
            <w:pPr>
              <w:pStyle w:val="Compact"/>
              <w:jc w:val="center"/>
            </w:pPr>
            <w:r>
              <w:t xml:space="preserve">near-linear</w:t>
            </w:r>
          </w:p>
        </w:tc>
      </w:tr>
      <w:tr>
        <w:tc>
          <w:tcPr>
            <w:tcW w:type="dxa" w:w="1532"/>
          </w:tcPr>
          <w:p>
            <w:pPr>
              <w:pStyle w:val="Compact"/>
              <w:jc w:val="left"/>
            </w:pPr>
            <w:r>
              <w:t xml:space="preserve">t-SNE (Barnes–Hut)</w:t>
            </w:r>
          </w:p>
        </w:tc>
        <w:tc>
          <w:tcPr>
            <w:tcW w:type="dxa" w:w="1532"/>
          </w:tcPr>
          <w:p>
            <w:pPr>
              <w:pStyle w:val="Compact"/>
              <w:jc w:val="center"/>
            </w:pPr>
            <m:oMath>
              <m:r>
                <m:rPr>
                  <m:scr m:val="script"/>
                  <m:sty m:val="p"/>
                </m:rPr>
                <m:t>O</m:t>
              </m:r>
              <m:r>
                <m:rPr>
                  <m:sty m:val="p"/>
                </m:rPr>
                <m:t>(</m:t>
              </m:r>
              <m:r>
                <m:t>n</m:t>
              </m:r>
              <m:r>
                <m:rPr>
                  <m:sty m:val="p"/>
                </m:rPr>
                <m:t>log</m:t>
              </m:r>
              <m:r>
                <m:t>n</m:t>
              </m:r>
              <m:r>
                <m:rPr>
                  <m:sty m:val="p"/>
                </m:rPr>
                <m:t>)</m:t>
              </m:r>
            </m:oMath>
          </w:p>
        </w:tc>
        <w:tc>
          <w:tcPr>
            <w:tcW w:type="dxa" w:w="1532"/>
          </w:tcPr>
          <w:p>
            <w:pPr>
              <w:pStyle w:val="Compact"/>
              <w:jc w:val="center"/>
            </w:pPr>
            <w:r>
              <w:t xml:space="preserve">near-linear</w:t>
            </w:r>
            <m:oMath>
              <m:sSup>
                <m:e>
                  <m:r>
                    <m:t>​</m:t>
                  </m:r>
                </m:e>
                <m:sup>
                  <m:r>
                    <m:rPr>
                      <m:sty m:val="p"/>
                    </m:rPr>
                    <m:t>*</m:t>
                  </m:r>
                </m:sup>
              </m:sSup>
            </m:oMath>
          </w:p>
        </w:tc>
      </w:tr>
      <w:tr>
        <w:tc>
          <w:tcPr>
            <w:tcW w:type="dxa" w:w="1532"/>
          </w:tcPr>
          <w:p>
            <w:pPr>
              <w:pStyle w:val="Compact"/>
              <w:jc w:val="left"/>
            </w:pPr>
            <w:r>
              <w:t xml:space="preserve">KNN graph</w:t>
            </w:r>
          </w:p>
        </w:tc>
        <w:tc>
          <w:tcPr>
            <w:tcW w:type="dxa" w:w="1532"/>
          </w:tcPr>
          <w:p>
            <w:pPr>
              <w:pStyle w:val="Compact"/>
              <w:jc w:val="center"/>
            </w:pPr>
            <m:oMath>
              <m:r>
                <m:rPr>
                  <m:scr m:val="script"/>
                  <m:sty m:val="p"/>
                </m:rPr>
                <m:t>O</m:t>
              </m:r>
              <m:r>
                <m:rPr>
                  <m:sty m:val="p"/>
                </m:rPr>
                <m:t>(</m:t>
              </m:r>
              <m:r>
                <m:t>n</m:t>
              </m:r>
              <m:r>
                <m:t>k</m:t>
              </m:r>
              <m:r>
                <m:rPr>
                  <m:sty m:val="p"/>
                </m:rPr>
                <m:t>⋅</m:t>
              </m:r>
              <m:sSup>
                <m:e>
                  <m:r>
                    <m:t>d</m:t>
                  </m:r>
                </m:e>
                <m:sup>
                  <m:r>
                    <m:rPr>
                      <m:sty m:val="p"/>
                    </m:rPr>
                    <m:t>′</m:t>
                  </m:r>
                </m:sup>
              </m:sSup>
              <m:r>
                <m:rPr>
                  <m:sty m:val="p"/>
                </m:rPr>
                <m:t>)</m:t>
              </m:r>
            </m:oMath>
          </w:p>
        </w:tc>
        <w:tc>
          <w:tcPr>
            <w:tcW w:type="dxa" w:w="1532"/>
          </w:tcPr>
          <w:p>
            <w:pPr>
              <w:pStyle w:val="Compact"/>
              <w:jc w:val="center"/>
            </w:pPr>
            <m:oMath>
              <m:r>
                <m:rPr>
                  <m:scr m:val="script"/>
                  <m:sty m:val="p"/>
                </m:rPr>
                <m:t>O</m:t>
              </m:r>
              <m:r>
                <m:rPr>
                  <m:sty m:val="p"/>
                </m:rPr>
                <m:t>(</m:t>
              </m:r>
              <m:r>
                <m:t>n</m:t>
              </m:r>
              <m:r>
                <m:t>k</m:t>
              </m:r>
              <m:r>
                <m:rPr>
                  <m:sty m:val="p"/>
                </m:rPr>
                <m:t>⋅</m:t>
              </m:r>
              <m:r>
                <m:t>40</m:t>
              </m:r>
              <m:r>
                <m:rPr>
                  <m:sty m:val="p"/>
                </m:rPr>
                <m:t>)</m:t>
              </m:r>
            </m:oMath>
          </w:p>
        </w:tc>
      </w:tr>
      <w:tr>
        <w:tc>
          <w:tcPr>
            <w:tcW w:type="dxa" w:w="1532"/>
          </w:tcPr>
          <w:p>
            <w:pPr>
              <w:pStyle w:val="Compact"/>
              <w:jc w:val="left"/>
            </w:pPr>
            <w:r>
              <w:t xml:space="preserve">SNN graph</w:t>
            </w:r>
          </w:p>
        </w:tc>
        <w:tc>
          <w:tcPr>
            <w:tcW w:type="dxa" w:w="1532"/>
          </w:tcPr>
          <w:p>
            <w:pPr>
              <w:pStyle w:val="Compact"/>
              <w:jc w:val="center"/>
            </w:pPr>
            <m:oMath>
              <m:r>
                <m:rPr>
                  <m:scr m:val="script"/>
                  <m:sty m:val="p"/>
                </m:rPr>
                <m:t>O</m:t>
              </m:r>
              <m:r>
                <m:rPr>
                  <m:sty m:val="p"/>
                </m:rPr>
                <m:t>(</m:t>
              </m:r>
              <m:r>
                <m:t>n</m:t>
              </m:r>
              <m:sSup>
                <m:e>
                  <m:r>
                    <m:t>k</m:t>
                  </m:r>
                </m:e>
                <m:sup>
                  <m:r>
                    <m:t>2</m:t>
                  </m:r>
                </m:sup>
              </m:sSup>
              <m:r>
                <m:rPr>
                  <m:sty m:val="p"/>
                </m:rPr>
                <m:t>)</m:t>
              </m:r>
            </m:oMath>
          </w:p>
        </w:tc>
        <w:tc>
          <w:tcPr>
            <w:tcW w:type="dxa" w:w="1532"/>
          </w:tcPr>
          <w:p>
            <w:pPr>
              <w:pStyle w:val="Compact"/>
              <w:jc w:val="center"/>
            </w:pPr>
            <m:oMath>
              <m:r>
                <m:rPr>
                  <m:scr m:val="script"/>
                  <m:sty m:val="p"/>
                </m:rPr>
                <m:t>O</m:t>
              </m:r>
              <m:r>
                <m:rPr>
                  <m:sty m:val="p"/>
                </m:rPr>
                <m:t>(</m:t>
              </m:r>
              <m:r>
                <m:t>n</m:t>
              </m:r>
              <m:r>
                <m:rPr>
                  <m:sty m:val="p"/>
                </m:rPr>
                <m:t>⋅</m:t>
              </m:r>
              <m:sSup>
                <m:e>
                  <m:r>
                    <m:t>k</m:t>
                  </m:r>
                </m:e>
                <m:sup>
                  <m:r>
                    <m:t>2</m:t>
                  </m:r>
                </m:sup>
              </m:sSup>
              <m:r>
                <m:rPr>
                  <m:sty m:val="p"/>
                </m:rPr>
                <m:t>)</m:t>
              </m:r>
            </m:oMath>
          </w:p>
        </w:tc>
      </w:tr>
      <w:tr>
        <w:tc>
          <w:tcPr>
            <w:tcW w:type="dxa" w:w="1532"/>
          </w:tcPr>
          <w:p>
            <w:pPr>
              <w:pStyle w:val="Compact"/>
              <w:jc w:val="left"/>
            </w:pPr>
            <w:r>
              <w:t xml:space="preserve">Leiden</w:t>
            </w:r>
          </w:p>
        </w:tc>
        <w:tc>
          <w:tcPr>
            <w:tcW w:type="dxa" w:w="1532"/>
          </w:tcPr>
          <w:p>
            <w:pPr>
              <w:pStyle w:val="Compact"/>
              <w:jc w:val="center"/>
            </w:pPr>
            <m:oMath>
              <m:r>
                <m:rPr>
                  <m:scr m:val="script"/>
                  <m:sty m:val="p"/>
                </m:rPr>
                <m:t>O</m:t>
              </m:r>
              <m:r>
                <m:rPr>
                  <m:sty m:val="p"/>
                </m:rPr>
                <m:t>(</m:t>
              </m:r>
              <m:r>
                <m:t>m</m:t>
              </m:r>
              <m:r>
                <m:rPr>
                  <m:sty m:val="p"/>
                </m:rPr>
                <m:t>log</m:t>
              </m:r>
              <m:r>
                <m:t>n</m:t>
              </m:r>
              <m:r>
                <m:rPr>
                  <m:sty m:val="p"/>
                </m:rPr>
                <m:t>)</m:t>
              </m:r>
            </m:oMath>
          </w:p>
        </w:tc>
        <w:tc>
          <w:tcPr>
            <w:tcW w:type="dxa" w:w="1532"/>
          </w:tcPr>
          <w:p>
            <w:pPr>
              <w:pStyle w:val="Compact"/>
              <w:jc w:val="center"/>
            </w:pPr>
            <w:r>
              <w:t xml:space="preserve">near-linear</w:t>
            </w:r>
          </w:p>
        </w:tc>
      </w:tr>
      <w:tr>
        <w:tc>
          <w:tcPr>
            <w:tcW w:type="dxa" w:w="1532"/>
          </w:tcPr>
          <w:p>
            <w:pPr>
              <w:pStyle w:val="Compact"/>
              <w:jc w:val="left"/>
            </w:pPr>
            <w:r>
              <w:t xml:space="preserve">AMR-DE (all evals)</w:t>
            </w:r>
          </w:p>
        </w:tc>
        <w:tc>
          <w:tcPr>
            <w:tcW w:type="dxa" w:w="1532"/>
          </w:tcPr>
          <w:p>
            <w:pPr>
              <w:pStyle w:val="Compact"/>
              <w:jc w:val="center"/>
            </w:pPr>
            <m:oMath>
              <m:r>
                <m:rPr>
                  <m:scr m:val="script"/>
                  <m:sty m:val="p"/>
                </m:rPr>
                <m:t>O</m:t>
              </m:r>
              <m:r>
                <m:rPr>
                  <m:sty m:val="p"/>
                </m:rPr>
                <m:t>(</m:t>
              </m:r>
              <m:r>
                <m:t>E</m:t>
              </m:r>
              <m:r>
                <m:rPr>
                  <m:sty m:val="p"/>
                </m:rPr>
                <m:t>⋅</m:t>
              </m:r>
              <m:sSub>
                <m:e>
                  <m:r>
                    <m:t>F</m:t>
                  </m:r>
                </m:e>
                <m:sub>
                  <m:r>
                    <m:t>c</m:t>
                  </m:r>
                </m:sub>
              </m:sSub>
              <m:r>
                <m:rPr>
                  <m:sty m:val="p"/>
                </m:rPr>
                <m:t>)</m:t>
              </m:r>
            </m:oMath>
          </w:p>
        </w:tc>
        <w:tc>
          <w:tcPr>
            <w:tcW w:type="dxa" w:w="1532"/>
          </w:tcPr>
          <w:p>
            <w:pPr>
              <w:pStyle w:val="Compact"/>
              <w:jc w:val="center"/>
            </w:pPr>
            <m:oMath>
              <m:r>
                <m:t>E</m:t>
              </m:r>
              <m:r>
                <m:rPr>
                  <m:sty m:val="p"/>
                </m:rPr>
                <m:t>=</m:t>
              </m:r>
              <m:r>
                <m:t>R</m:t>
              </m:r>
              <m:r>
                <m:t>G</m:t>
              </m:r>
              <m:r>
                <m:t>P</m:t>
              </m:r>
              <m:r>
                <m:rPr>
                  <m:sty m:val="p"/>
                </m:rPr>
                <m:t>≈</m:t>
              </m:r>
              <m:r>
                <m:t>320</m:t>
              </m:r>
            </m:oMath>
          </w:p>
        </w:tc>
      </w:tr>
      <w:tr>
        <w:tc>
          <w:tcPr>
            <w:tcW w:type="dxa" w:w="1532"/>
          </w:tcPr>
          <w:p>
            <w:pPr>
              <w:pStyle w:val="Compact"/>
              <w:jc w:val="left"/>
            </w:pPr>
            <w:r>
              <w:t xml:space="preserve">EMR-CGC ensemble</w:t>
            </w:r>
          </w:p>
        </w:tc>
        <w:tc>
          <w:tcPr>
            <w:tcW w:type="dxa" w:w="1532"/>
          </w:tcPr>
          <w:p>
            <w:pPr>
              <w:pStyle w:val="Compact"/>
              <w:jc w:val="center"/>
            </w:pPr>
            <m:oMath>
              <m:r>
                <m:rPr>
                  <m:scr m:val="script"/>
                  <m:sty m:val="p"/>
                </m:rPr>
                <m:t>O</m:t>
              </m:r>
              <m:r>
                <m:rPr>
                  <m:sty m:val="p"/>
                </m:rPr>
                <m:t>(</m:t>
              </m:r>
              <m:r>
                <m:t>M</m:t>
              </m:r>
              <m:r>
                <m:rPr>
                  <m:sty m:val="p"/>
                </m:rPr>
                <m:t>|</m:t>
              </m:r>
              <m:r>
                <m:t>K</m:t>
              </m:r>
              <m:r>
                <m:rPr>
                  <m:sty m:val="p"/>
                </m:rPr>
                <m:t>|</m:t>
              </m:r>
              <m:r>
                <m:rPr>
                  <m:sty m:val="p"/>
                </m:rPr>
                <m:t>|</m:t>
              </m:r>
              <m:r>
                <m:t>R</m:t>
              </m:r>
              <m:r>
                <m:rPr>
                  <m:sty m:val="p"/>
                </m:rPr>
                <m:t>|</m:t>
              </m:r>
              <m:sSub>
                <m:e>
                  <m:r>
                    <m:t>F</m:t>
                  </m:r>
                </m:e>
                <m:sub>
                  <m:r>
                    <m:t>c</m:t>
                  </m:r>
                </m:sub>
              </m:sSub>
              <m:r>
                <m:rPr>
                  <m:sty m:val="p"/>
                </m:rPr>
                <m:t>)</m:t>
              </m:r>
            </m:oMath>
          </w:p>
        </w:tc>
        <w:tc>
          <w:tcPr>
            <w:tcW w:type="dxa" w:w="1532"/>
          </w:tcPr>
          <w:p>
            <w:pPr>
              <w:pStyle w:val="Compact"/>
              <w:jc w:val="center"/>
            </w:pPr>
            <m:oMath>
              <m:r>
                <m:t>60</m:t>
              </m:r>
              <m:r>
                <m:rPr>
                  <m:sty m:val="p"/>
                </m:rPr>
                <m:t>⋅</m:t>
              </m:r>
              <m:sSub>
                <m:e>
                  <m:r>
                    <m:t>F</m:t>
                  </m:r>
                </m:e>
                <m:sub>
                  <m:r>
                    <m:t>c</m:t>
                  </m:r>
                </m:sub>
              </m:sSub>
            </m:oMath>
          </w:p>
        </w:tc>
      </w:tr>
      <w:tr>
        <w:tc>
          <w:tcPr>
            <w:tcW w:type="dxa" w:w="1532"/>
          </w:tcPr>
          <w:p>
            <w:pPr>
              <w:pStyle w:val="Compact"/>
              <w:jc w:val="left"/>
            </w:pPr>
            <w:r>
              <w:rPr>
                <w:b/>
                <w:bCs/>
              </w:rPr>
              <w:t xml:space="preserve">Total DEAC</w:t>
            </w:r>
          </w:p>
        </w:tc>
        <w:tc>
          <w:tcPr>
            <w:tcW w:type="dxa" w:w="1532"/>
          </w:tcPr>
          <w:p>
            <w:pPr>
              <w:pStyle w:val="Compact"/>
              <w:jc w:val="center"/>
            </w:pPr>
            <m:oMath>
              <m:r>
                <m:rPr>
                  <m:scr m:val="script"/>
                  <m:sty m:val="p"/>
                </m:rPr>
                <m:t>O</m:t>
              </m:r>
              <m:r>
                <m:rPr>
                  <m:sty m:val="p"/>
                </m:rPr>
                <m:t>(</m:t>
              </m:r>
              <m:sSup>
                <m:e>
                  <m:r>
                    <m:t>n</m:t>
                  </m:r>
                </m:e>
                <m:sup>
                  <m:r>
                    <m:t>1.14</m:t>
                  </m:r>
                </m:sup>
              </m:sSup>
              <m:sSup>
                <m:e>
                  <m:r>
                    <m:t>d</m:t>
                  </m:r>
                </m:e>
                <m:sup>
                  <m:r>
                    <m:rPr>
                      <m:sty m:val="p"/>
                    </m:rPr>
                    <m:t>′</m:t>
                  </m:r>
                </m:sup>
              </m:sSup>
              <m:r>
                <m:rPr>
                  <m:sty m:val="p"/>
                </m:rPr>
                <m:t>+</m:t>
              </m:r>
              <m:r>
                <m:t>n</m:t>
              </m:r>
              <m:sSup>
                <m:e>
                  <m:r>
                    <m:t>k</m:t>
                  </m:r>
                </m:e>
                <m:sup>
                  <m:r>
                    <m:t>2</m:t>
                  </m:r>
                </m:sup>
              </m:sSup>
              <m:r>
                <m:rPr>
                  <m:sty m:val="p"/>
                </m:rPr>
                <m:t>)</m:t>
              </m:r>
            </m:oMath>
          </w:p>
        </w:tc>
        <w:tc>
          <w:tcPr>
            <w:tcW w:type="dxa" w:w="1532"/>
          </w:tcPr>
          <w:p>
            <w:pPr>
              <w:pStyle w:val="Compact"/>
              <w:jc w:val="center"/>
            </w:pPr>
            <w:r>
              <w:t xml:space="preserve">sub-quadratic</w:t>
            </w:r>
          </w:p>
        </w:tc>
      </w:tr>
    </w:tbl>
    <w:bookmarkEnd w:id="137"/>
    <w:p>
      <w:pPr>
        <w:pStyle w:val="BodyText"/>
        <w:spacing w:before="0" w:after="0" w:line="240" w:lineRule="auto"/>
        <w:ind w:firstLine="330"/>
        <w:jc w:val="both"/>
      </w:pPr>
      <m:oMath>
        <m:sSup>
          <m:e>
            <m:r>
              <m:t>​</m:t>
            </m:r>
          </m:e>
          <m:sup>
            <m:r>
              <m:rPr>
                <m:sty m:val="p"/>
              </m:rPr>
              <m:t>*</m:t>
            </m:r>
          </m:sup>
        </m:sSup>
      </m:oMath>
      <w:r>
        <w:rPr>
          <w:color w:val="C00000"/>
        </w:rPr>
        <w:t xml:space="preserve"> t-SNE uses the Barnes–Hut approximation (output dimension</w:t>
      </w:r>
      <w:r>
        <w:rPr>
          <w:color w:val="C00000"/>
        </w:rPr>
        <w:t xml:space="preserve"> </w:t>
      </w:r>
      <m:oMath>
        <m:r>
          <m:rPr>
            <m:sty m:val="p"/>
          </m:rPr>
          <m:t>≤</m:t>
        </m:r>
        <m:r>
          <m:t>3</m:t>
        </m:r>
      </m:oMath>
      <w:r>
        <w:rPr>
          <w:color w:val="C00000"/>
        </w:rPr>
        <w:t xml:space="preserve">), which is</w:t>
      </w:r>
      <w:r>
        <w:rPr>
          <w:color w:val="C00000"/>
        </w:rPr>
        <w:t xml:space="preserve"> </w:t>
      </w:r>
      <m:oMath>
        <m:r>
          <m:rPr>
            <m:scr m:val="script"/>
            <m:sty m:val="p"/>
          </m:rPr>
          <m:t>O</m:t>
        </m:r>
        <m:r>
          <m:rPr>
            <m:sty m:val="p"/>
          </m:rPr>
          <m:t>(</m:t>
        </m:r>
        <m:r>
          <m:t>n</m:t>
        </m:r>
        <m:r>
          <m:rPr>
            <m:sty m:val="p"/>
          </m:rPr>
          <m:t>log</m:t>
        </m:r>
        <m:r>
          <m:t>n</m:t>
        </m:r>
        <m:r>
          <m:rPr>
            <m:sty m:val="p"/>
          </m:rPr>
          <m:t>)</m:t>
        </m:r>
      </m:oMath>
      <w:r>
        <w:rPr>
          <w:color w:val="C00000"/>
        </w:rPr>
        <w:t xml:space="preserve">; exact t-SNE would be</w:t>
      </w:r>
      <w:r>
        <w:rPr>
          <w:color w:val="C00000"/>
        </w:rPr>
        <w:t xml:space="preserve"> </w:t>
      </w:r>
      <m:oMath>
        <m:r>
          <m:rPr>
            <m:scr m:val="script"/>
            <m:sty m:val="p"/>
          </m:rPr>
          <m:t>O</m:t>
        </m:r>
        <m:r>
          <m:rPr>
            <m:sty m:val="p"/>
          </m:rPr>
          <m:t>(</m:t>
        </m:r>
        <m:sSup>
          <m:e>
            <m:r>
              <m:t>n</m:t>
            </m:r>
          </m:e>
          <m:sup>
            <m:r>
              <m:t>2</m:t>
            </m:r>
          </m:sup>
        </m:sSup>
        <m:r>
          <m:rPr>
            <m:sty m:val="p"/>
          </m:rPr>
          <m:t>)</m:t>
        </m:r>
      </m:oMath>
      <w:r>
        <w:rPr>
          <w:color w:val="C00000"/>
        </w:rPr>
        <w:t xml:space="preserve">. The sub-quadratic total therefore holds for the implemented pipeline, with the</w:t>
      </w:r>
      <w:r>
        <w:rPr>
          <w:color w:val="C00000"/>
        </w:rPr>
        <w:t xml:space="preserve"> </w:t>
      </w:r>
      <m:oMath>
        <m:r>
          <m:rPr>
            <m:scr m:val="script"/>
            <m:sty m:val="p"/>
          </m:rPr>
          <m:t>O</m:t>
        </m:r>
        <m:r>
          <m:rPr>
            <m:sty m:val="p"/>
          </m:rPr>
          <m:t>(</m:t>
        </m:r>
        <m:r>
          <m:t>n</m:t>
        </m:r>
        <m:sSup>
          <m:e>
            <m:r>
              <m:t>k</m:t>
            </m:r>
          </m:e>
          <m:sup>
            <m:r>
              <m:t>2</m:t>
            </m:r>
          </m:sup>
        </m:sSup>
        <m:r>
          <m:rPr>
            <m:sty m:val="p"/>
          </m:rPr>
          <m:t>)</m:t>
        </m:r>
      </m:oMath>
      <w:r>
        <w:rPr>
          <w:color w:val="C00000"/>
        </w:rPr>
        <w:t xml:space="preserve"> </w:t>
      </w:r>
      <w:r>
        <w:rPr>
          <w:color w:val="C00000"/>
        </w:rPr>
        <w:t xml:space="preserve">SNN term dominating.</w:t>
      </w:r>
    </w:p>
    <w:p>
      <w:pPr>
        <w:pStyle w:val="BodyText"/>
        <w:spacing w:before="0" w:after="0" w:line="240" w:lineRule="auto"/>
        <w:ind w:firstLine="330"/>
        <w:jc w:val="both"/>
      </w:pPr>
      <w:r>
        <w:rPr>
          <w:color w:val="C00000"/>
        </w:rPr>
        <w:t xml:space="preserve">Measured end-to-end wall-clock for the full three-engine pipeline (single seed, one machine) is</w:t>
      </w:r>
      <w:r>
        <w:rPr>
          <w:color w:val="C00000"/>
        </w:rPr>
        <w:t xml:space="preserve"> </w:t>
      </w:r>
      <m:oMath>
        <m:r>
          <m:t>29</m:t>
        </m:r>
      </m:oMath>
      <w:r>
        <w:rPr>
          <w:color w:val="C00000"/>
        </w:rPr>
        <w:t xml:space="preserve"> s on Wine (</w:t>
      </w:r>
      <m:oMath>
        <m:r>
          <m:t>n</m:t>
        </m:r>
        <m:r>
          <m:rPr>
            <m:sty m:val="p"/>
          </m:rPr>
          <m:t>=</m:t>
        </m:r>
        <m:r>
          <m:t>178</m:t>
        </m:r>
      </m:oMath>
      <w:r>
        <w:rPr>
          <w:color w:val="C00000"/>
        </w:rPr>
        <w:t xml:space="preserve">),</w:t>
      </w:r>
      <w:r>
        <w:rPr>
          <w:color w:val="C00000"/>
        </w:rPr>
        <w:t xml:space="preserve"> </w:t>
      </w:r>
      <m:oMath>
        <m:r>
          <m:t>102</m:t>
        </m:r>
      </m:oMath>
      <w:r>
        <w:rPr>
          <w:color w:val="C00000"/>
        </w:rPr>
        <w:t xml:space="preserve"> s on MFeat (</w:t>
      </w:r>
      <m:oMath>
        <m:r>
          <m:t>n</m:t>
        </m:r>
        <m:r>
          <m:rPr>
            <m:sty m:val="p"/>
          </m:rPr>
          <m:t>=</m:t>
        </m:r>
        <m:r>
          <m:t>2000</m:t>
        </m:r>
      </m:oMath>
      <w:r>
        <w:rPr>
          <w:color w:val="C00000"/>
        </w:rPr>
        <w:t xml:space="preserve">), and</w:t>
      </w:r>
      <w:r>
        <w:rPr>
          <w:color w:val="C00000"/>
        </w:rPr>
        <w:t xml:space="preserve"> </w:t>
      </w:r>
      <m:oMath>
        <m:r>
          <m:t>200</m:t>
        </m:r>
      </m:oMath>
      <w:r>
        <w:rPr>
          <w:color w:val="C00000"/>
        </w:rPr>
        <w:t xml:space="preserve"> s on USPS (</w:t>
      </w:r>
      <m:oMath>
        <m:r>
          <m:t>n</m:t>
        </m:r>
        <m:r>
          <m:rPr>
            <m:sty m:val="p"/>
          </m:rPr>
          <m:t>=</m:t>
        </m:r>
        <m:r>
          <m:t>9298</m:t>
        </m:r>
      </m:oMath>
      <w:r>
        <w:rPr>
          <w:color w:val="C00000"/>
        </w:rPr>
        <w:t xml:space="preserve">), with peak memory rising from</w:t>
      </w:r>
      <w:r>
        <w:rPr>
          <w:color w:val="C00000"/>
        </w:rPr>
        <w:t xml:space="preserve"> </w:t>
      </w:r>
      <m:oMath>
        <m:r>
          <m:t>0.6</m:t>
        </m:r>
      </m:oMath>
      <w:r>
        <w:rPr>
          <w:color w:val="C00000"/>
        </w:rPr>
        <w:t xml:space="preserve"> </w:t>
      </w:r>
      <w:r>
        <w:rPr>
          <w:color w:val="C00000"/>
        </w:rPr>
        <w:t xml:space="preserve">to</w:t>
      </w:r>
      <w:r>
        <w:rPr>
          <w:color w:val="C00000"/>
        </w:rPr>
        <w:t xml:space="preserve"> </w:t>
      </w:r>
      <m:oMath>
        <m:r>
          <m:t>1.8</m:t>
        </m:r>
      </m:oMath>
      <w:r>
        <w:rPr>
          <w:color w:val="C00000"/>
        </w:rPr>
        <w:t xml:space="preserve"> GB. EMR-CGC’s 60-run ensemble and the AMR-DE search dominate the cost, so runtime grows with</w:t>
      </w:r>
      <w:r>
        <w:rPr>
          <w:color w:val="C00000"/>
        </w:rPr>
        <w:t xml:space="preserve"> </w:t>
      </w:r>
      <m:oMath>
        <m:r>
          <m:t>n</m:t>
        </m:r>
      </m:oMath>
      <w:r>
        <w:rPr>
          <w:color w:val="C00000"/>
        </w:rPr>
        <w:t xml:space="preserve"> </w:t>
      </w:r>
      <w:r>
        <w:rPr>
          <w:color w:val="C00000"/>
        </w:rPr>
        <w:t xml:space="preserve">but stays within a few minutes at the high end of our benchmarks.</w:t>
      </w:r>
    </w:p>
    <w:bookmarkEnd w:id="138"/>
    <w:bookmarkEnd w:id="139"/>
    <w:bookmarkStart w:id="148" w:name="sec:disc"/>
    <w:p>
      <w:pPr>
        <w:pStyle w:val="Heading1"/>
        <w:jc w:val="left"/>
      </w:pPr>
      <w:r>
        <w:rPr>
          <w:rFonts w:ascii="Times New Roman" w:hAnsi="Times New Roman" w:cs="Times New Roman"/>
          <w:b/>
          <w:color w:val="000000"/>
          <w:sz w:val="24"/>
        </w:rPr>
        <w:t>5.  Discussion</w:t>
      </w:r>
    </w:p>
    <w:p>
      <w:pPr>
        <w:pStyle w:val="FirstParagraph"/>
        <w:spacing w:before="0" w:after="0" w:line="240" w:lineRule="auto"/>
        <w:ind w:firstLine="330"/>
        <w:jc w:val="both"/>
      </w:pPr>
      <w:r>
        <w:t xml:space="preserve">The results raise four follow-up questions: why arbitration rather than optimization, how much of the oracle a label-free gate can recover, why SNN rather than KNN, and where the method still falls short.</w:t>
      </w:r>
    </w:p>
    <w:bookmarkStart w:id="141" w:name="why-arbitration-not-optimization"/>
    <w:p>
      <w:pPr>
        <w:pStyle w:val="Heading2"/>
        <w:jc w:val="left"/>
      </w:pPr>
      <w:r>
        <w:rPr>
          <w:rFonts w:ascii="Times New Roman" w:hAnsi="Times New Roman" w:cs="Times New Roman"/>
          <w:b/>
          <w:color w:val="C00000"/>
          <w:sz w:val="22"/>
        </w:rPr>
        <w:t>Why Arbitration, Not Optimization?</w:t>
      </w:r>
    </w:p>
    <w:p>
      <w:pPr>
        <w:pStyle w:val="FirstParagraph"/>
        <w:spacing w:before="0" w:after="0" w:line="240" w:lineRule="auto"/>
        <w:ind w:firstLine="330"/>
        <w:jc w:val="both"/>
      </w:pPr>
      <w:r>
        <w:rPr>
          <w:color w:val="C00000"/>
        </w:rPr>
        <w:t xml:space="preserve">The most informative result in our study is a negative one. AMR-DE</w:t>
      </w:r>
      <w:r>
        <w:rPr>
          <w:color w:val="C00000"/>
        </w:rPr>
        <w:t xml:space="preserve"> </w:t>
      </w:r>
      <w:r>
        <w:rPr>
          <w:color w:val="C00000"/>
        </w:rPr>
        <w:t xml:space="preserve">explicitly maximizes internal objectives (modularity, silhouette,</w:t>
      </w:r>
      <w:r>
        <w:rPr>
          <w:color w:val="C00000"/>
        </w:rPr>
        <w:t xml:space="preserve"> </w:t>
      </w:r>
      <w:r>
        <w:rPr>
          <w:color w:val="C00000"/>
        </w:rPr>
        <w:t xml:space="preserve">Calinski–Harabasz), yet its mean ARI (</w:t>
      </w:r>
      <m:oMath>
        <m:r>
          <m:t>0.563</m:t>
        </m:r>
      </m:oMath>
      <w:r>
        <w:rPr>
          <w:color w:val="C00000"/>
        </w:rPr>
        <w:t xml:space="preserve">) falls</w:t>
      </w:r>
      <w:r>
        <w:rPr>
          <w:color w:val="C00000"/>
        </w:rPr>
        <w:t xml:space="preserve"> </w:t>
      </w:r>
      <w:r>
        <w:rPr>
          <w:i/>
          <w:iCs/>
          <w:color w:val="C00000"/>
        </w:rPr>
        <w:t xml:space="preserve">below</w:t>
      </w:r>
      <w:r>
        <w:rPr>
          <w:color w:val="C00000"/>
        </w:rPr>
        <w:t xml:space="preserve"> </w:t>
      </w:r>
      <w:r>
        <w:rPr>
          <w:color w:val="C00000"/>
        </w:rPr>
        <w:t xml:space="preserve">the fixed</w:t>
      </w:r>
      <w:r>
        <w:rPr>
          <w:color w:val="C00000"/>
        </w:rPr>
        <w:t xml:space="preserve"> </w:t>
      </w:r>
      <w:r>
        <w:rPr>
          <w:color w:val="C00000"/>
        </w:rPr>
        <w:t xml:space="preserve">baseline (</w:t>
      </w:r>
      <m:oMath>
        <m:r>
          <m:t>0.580</m:t>
        </m:r>
      </m:oMath>
      <w:r>
        <w:rPr>
          <w:color w:val="C00000"/>
        </w:rPr>
        <w:t xml:space="preserve">) and it collapses on several datasets (Satimage</w:t>
      </w:r>
      <w:r>
        <w:rPr>
          <w:color w:val="C00000"/>
        </w:rPr>
        <w:t xml:space="preserve"> </w:t>
      </w:r>
      <m:oMath>
        <m:r>
          <m:t>0.318</m:t>
        </m:r>
      </m:oMath>
      <w:r>
        <w:rPr>
          <w:color w:val="C00000"/>
        </w:rPr>
        <w:t xml:space="preserve">,</w:t>
      </w:r>
      <w:r>
        <w:rPr>
          <w:color w:val="C00000"/>
        </w:rPr>
        <w:t xml:space="preserve"> </w:t>
      </w:r>
      <w:r>
        <w:rPr>
          <w:color w:val="C00000"/>
        </w:rPr>
        <w:t xml:space="preserve">Segmentation</w:t>
      </w:r>
      <w:r>
        <w:rPr>
          <w:color w:val="C00000"/>
        </w:rPr>
        <w:t xml:space="preserve"> </w:t>
      </w:r>
      <m:oMath>
        <m:r>
          <m:t>0.344</m:t>
        </m:r>
      </m:oMath>
      <w:r>
        <w:rPr>
          <w:color w:val="C00000"/>
        </w:rPr>
        <w:t xml:space="preserve">, PenDigits</w:t>
      </w:r>
      <w:r>
        <w:rPr>
          <w:color w:val="C00000"/>
        </w:rPr>
        <w:t xml:space="preserve"> </w:t>
      </w:r>
      <m:oMath>
        <m:r>
          <m:t>0.617</m:t>
        </m:r>
      </m:oMath>
      <w:r>
        <w:rPr>
          <w:color w:val="C00000"/>
        </w:rPr>
        <w:t xml:space="preserve">). Internal quality and external</w:t>
      </w:r>
      <w:r>
        <w:rPr>
          <w:color w:val="C00000"/>
        </w:rPr>
        <w:t xml:space="preserve"> </w:t>
      </w:r>
      <w:r>
        <w:rPr>
          <w:color w:val="C00000"/>
        </w:rPr>
        <w:t xml:space="preserve">agreement are therefore misaligned: a partition can be</w:t>
      </w:r>
      <w:r>
        <w:rPr>
          <w:color w:val="C00000"/>
        </w:rPr>
        <w:t xml:space="preserve"> </w:t>
      </w:r>
      <w:r>
        <w:rPr>
          <w:color w:val="C00000"/>
        </w:rPr>
        <w:t xml:space="preserve">“better”</w:t>
      </w:r>
      <w:r>
        <w:rPr>
          <w:color w:val="C00000"/>
        </w:rPr>
        <w:t xml:space="preserve"> </w:t>
      </w:r>
      <w:r>
        <w:rPr>
          <w:color w:val="C00000"/>
        </w:rPr>
        <w:t xml:space="preserve">by every</w:t>
      </w:r>
      <w:r>
        <w:rPr>
          <w:color w:val="C00000"/>
        </w:rPr>
        <w:t xml:space="preserve"> </w:t>
      </w:r>
      <w:r>
        <w:rPr>
          <w:color w:val="C00000"/>
        </w:rPr>
        <w:t xml:space="preserve">internal score and worse by ARI. This is why DEAC does not trust any single</w:t>
      </w:r>
      <w:r>
        <w:rPr>
          <w:color w:val="C00000"/>
        </w:rPr>
        <w:t xml:space="preserve"> </w:t>
      </w:r>
      <w:r>
        <w:rPr>
          <w:color w:val="C00000"/>
        </w:rPr>
        <w:t xml:space="preserve">optimized candidate; the QualityGate instead</w:t>
      </w:r>
      <w:r>
        <w:rPr>
          <w:color w:val="C00000"/>
        </w:rPr>
        <w:t xml:space="preserve"> </w:t>
      </w:r>
      <w:r>
        <w:rPr>
          <w:i/>
          <w:iCs/>
          <w:color w:val="C00000"/>
        </w:rPr>
        <w:t xml:space="preserve">arbitrates</w:t>
      </w:r>
      <w:r>
        <w:rPr>
          <w:color w:val="C00000"/>
        </w:rPr>
        <w:t xml:space="preserve">, keeping an</w:t>
      </w:r>
      <w:r>
        <w:rPr>
          <w:color w:val="C00000"/>
        </w:rPr>
        <w:t xml:space="preserve"> </w:t>
      </w:r>
      <w:r>
        <w:rPr>
          <w:color w:val="C00000"/>
        </w:rPr>
        <w:t xml:space="preserve">engine only when it survives three conservative, label-free tests and otherwise</w:t>
      </w:r>
      <w:r>
        <w:rPr>
          <w:color w:val="C00000"/>
        </w:rPr>
        <w:t xml:space="preserve"> </w:t>
      </w:r>
      <w:r>
        <w:rPr>
          <w:color w:val="C00000"/>
        </w:rPr>
        <w:t xml:space="preserve">falling back. Crucially, the</w:t>
      </w:r>
      <w:r>
        <w:rPr>
          <w:color w:val="C00000"/>
        </w:rPr>
        <w:t xml:space="preserve"> </w:t>
      </w:r>
      <w:r>
        <w:rPr>
          <w:i/>
          <w:iCs/>
          <w:color w:val="C00000"/>
        </w:rPr>
        <w:t xml:space="preserve">same</w:t>
      </w:r>
      <w:r>
        <w:rPr>
          <w:color w:val="C00000"/>
        </w:rPr>
        <w:t xml:space="preserve"> </w:t>
      </w:r>
      <w:r>
        <w:rPr>
          <w:color w:val="C00000"/>
        </w:rPr>
        <w:t xml:space="preserve">misalignment that sinks AMR-DE also</w:t>
      </w:r>
      <w:r>
        <w:rPr>
          <w:color w:val="C00000"/>
        </w:rPr>
        <w:t xml:space="preserve"> </w:t>
      </w:r>
      <w:r>
        <w:rPr>
          <w:color w:val="C00000"/>
        </w:rPr>
        <w:t xml:space="preserve">limits the gate: deciding by internal metrics, it reaches</w:t>
      </w:r>
      <w:r>
        <w:rPr>
          <w:color w:val="C00000"/>
        </w:rPr>
        <w:t xml:space="preserve"> </w:t>
      </w:r>
      <m:oMath>
        <m:r>
          <m:t>0.623</m:t>
        </m:r>
      </m:oMath>
      <w:r>
        <w:rPr>
          <w:color w:val="C00000"/>
        </w:rPr>
        <w:t xml:space="preserve">—</w:t>
      </w:r>
      <w:r>
        <w:rPr>
          <w:i/>
          <w:iCs/>
          <w:color w:val="C00000"/>
        </w:rPr>
        <w:t xml:space="preserve">below</w:t>
      </w:r>
      <w:r>
        <w:rPr>
          <w:color w:val="C00000"/>
        </w:rPr>
        <w:t xml:space="preserve"> </w:t>
      </w:r>
      <w:r>
        <w:rPr>
          <w:color w:val="C00000"/>
        </w:rPr>
        <w:t xml:space="preserve">the ensemble it arbitrates (EMR-CGC,</w:t>
      </w:r>
      <w:r>
        <w:rPr>
          <w:color w:val="C00000"/>
        </w:rPr>
        <w:t xml:space="preserve"> </w:t>
      </w:r>
      <m:oMath>
        <m:r>
          <m:t>0.631</m:t>
        </m:r>
      </m:oMath>
      <w:r>
        <w:rPr>
          <w:color w:val="C00000"/>
        </w:rPr>
        <w:t xml:space="preserve">). Arbitration is thus a</w:t>
      </w:r>
      <w:r>
        <w:rPr>
          <w:color w:val="C00000"/>
        </w:rPr>
        <w:t xml:space="preserve"> </w:t>
      </w:r>
      <w:r>
        <w:rPr>
          <w:i/>
          <w:iCs/>
          <w:color w:val="C00000"/>
        </w:rPr>
        <w:t xml:space="preserve">defensive</w:t>
      </w:r>
      <w:r>
        <w:rPr>
          <w:color w:val="C00000"/>
        </w:rPr>
        <w:t xml:space="preserve"> </w:t>
      </w:r>
      <w:r>
        <w:rPr>
          <w:color w:val="C00000"/>
        </w:rPr>
        <w:t xml:space="preserve">mechanism that curbs the optimizer’s worst losses, not an</w:t>
      </w:r>
      <w:r>
        <w:rPr>
          <w:color w:val="C00000"/>
        </w:rPr>
        <w:t xml:space="preserve"> </w:t>
      </w:r>
      <w:r>
        <w:rPr>
          <w:color w:val="C00000"/>
        </w:rPr>
        <w:t xml:space="preserve">accuracy-maximizing one. A controlled selection-rule ablation</w:t>
      </w:r>
      <w:r>
        <w:rPr>
          <w:color w:val="C00000"/>
        </w:rPr>
        <w:t xml:space="preserve"> </w:t>
      </w:r>
      <w:r>
        <w:rPr>
          <w:color w:val="C00000"/>
        </w:rPr>
        <w:t xml:space="preserve">(Table </w:t>
      </w:r>
      <w:hyperlink w:anchor="tab:selection">
        <w:r>
          <w:rPr>
            <w:rStyle w:val="Hyperlink"/>
          </w:rPr>
          <w:t xml:space="preserve">17</w:t>
        </w:r>
      </w:hyperlink>
      <w:r>
        <w:rPr>
          <w:color w:val="C00000"/>
        </w:rPr>
        <w:t xml:space="preserve">) confirms this: removing the over-fragmentation guard</w:t>
      </w:r>
      <w:r>
        <w:rPr>
          <w:color w:val="C00000"/>
        </w:rPr>
        <w:t xml:space="preserve"> </w:t>
      </w:r>
      <w:r>
        <w:rPr>
          <w:color w:val="C00000"/>
        </w:rPr>
        <w:t xml:space="preserve">leaves the gate essentially unchanged, dropping AMR-DE from the gate costs only</w:t>
      </w:r>
      <w:r>
        <w:rPr>
          <w:color w:val="C00000"/>
        </w:rPr>
        <w:t xml:space="preserve"> </w:t>
      </w:r>
      <m:oMath>
        <m:r>
          <m:rPr>
            <m:sty m:val="p"/>
          </m:rPr>
          <m:t>∼</m:t>
        </m:r>
        <m:r>
          <m:t>0.003</m:t>
        </m:r>
      </m:oMath>
      <w:r>
        <w:rPr>
          <w:color w:val="C00000"/>
        </w:rPr>
        <w:t xml:space="preserve"> </w:t>
      </w:r>
      <w:r>
        <w:rPr>
          <w:color w:val="C00000"/>
        </w:rPr>
        <w:t xml:space="preserve">mean ARI, and the trivial</w:t>
      </w:r>
      <w:r>
        <w:rPr>
          <w:color w:val="C00000"/>
        </w:rPr>
        <w:t xml:space="preserve"> </w:t>
      </w:r>
      <w:r>
        <w:rPr>
          <w:color w:val="C00000"/>
        </w:rPr>
        <w:t xml:space="preserve">“always-EMR-CGC”</w:t>
      </w:r>
      <w:r>
        <w:rPr>
          <w:color w:val="C00000"/>
        </w:rPr>
        <w:t xml:space="preserve"> </w:t>
      </w:r>
      <w:r>
        <w:rPr>
          <w:color w:val="C00000"/>
        </w:rPr>
        <w:t xml:space="preserve">policy (</w:t>
      </w:r>
      <m:oMath>
        <m:r>
          <m:t>0.631</m:t>
        </m:r>
      </m:oMath>
      <w:r>
        <w:rPr>
          <w:color w:val="C00000"/>
        </w:rPr>
        <w:t xml:space="preserve">) in</w:t>
      </w:r>
      <w:r>
        <w:rPr>
          <w:color w:val="C00000"/>
        </w:rPr>
        <w:t xml:space="preserve"> </w:t>
      </w:r>
      <w:r>
        <w:rPr>
          <w:color w:val="C00000"/>
        </w:rPr>
        <w:t xml:space="preserve">fact exceeds the gate. The gate therefore buys robustness against catastrophic</w:t>
      </w:r>
      <w:r>
        <w:rPr>
          <w:color w:val="C00000"/>
        </w:rPr>
        <w:t xml:space="preserve"> </w:t>
      </w:r>
      <w:r>
        <w:rPr>
          <w:color w:val="C00000"/>
        </w:rPr>
        <w:t xml:space="preserve">single-engine picks rather than higher mean accuracy. How much of the label-aware</w:t>
      </w:r>
      <w:r>
        <w:rPr>
          <w:color w:val="C00000"/>
        </w:rPr>
        <w:t xml:space="preserve"> </w:t>
      </w:r>
      <w:r>
        <w:rPr>
          <w:color w:val="C00000"/>
        </w:rPr>
        <w:t xml:space="preserve">oracle any such label-free rule can recover is the central question.</w:t>
      </w:r>
    </w:p>
    <w:bookmarkStart w:id="140" w:name="tab:selection"/>
    <w:p>
      <w:pPr>
        <w:pStyle w:val="TableCaption"/>
        <w:jc w:val="center"/>
      </w:pPr>
      <w:r>
        <w:rPr>
          <w:rFonts w:ascii="Times New Roman" w:hAnsi="Times New Roman" w:cs="Times New Roman"/>
          <w:color w:val="000000"/>
          <w:sz w:val="20"/>
        </w:rPr>
        <w:t xml:space="preserve">Table 17. </w:t>
      </w:r>
      <w:r>
        <w:rPr>
          <w:rFonts w:ascii="Times New Roman" w:hAnsi="Times New Roman" w:cs="Times New Roman"/>
          <w:color w:val="000000"/>
          <w:sz w:val="20"/>
        </w:rPr>
        <w:t xml:space="preserve">Deployable selection-rule ablation (mean ARI, 12 datasets, 5 seeds). Removing the rho guard (best-internal) and removing AMR-DE from the gate both leave performance essentially unchanged; the trivial</w:t>
      </w:r>
      <w:r>
        <w:rPr>
          <w:rFonts w:ascii="Times New Roman" w:hAnsi="Times New Roman" w:cs="Times New Roman"/>
          <w:color w:val="000000"/>
          <w:sz w:val="20"/>
        </w:rPr>
        <w:t xml:space="preserve"> </w:t>
      </w:r>
      <w:r>
        <w:rPr>
          <w:rFonts w:ascii="Times New Roman" w:hAnsi="Times New Roman" w:cs="Times New Roman"/>
          <w:color w:val="000000"/>
          <w:sz w:val="20"/>
        </w:rPr>
        <w:t xml:space="preserve">‘always-EMR-CGC’</w:t>
      </w:r>
      <w:r>
        <w:rPr>
          <w:rFonts w:ascii="Times New Roman" w:hAnsi="Times New Roman" w:cs="Times New Roman"/>
          <w:color w:val="000000"/>
          <w:sz w:val="20"/>
        </w:rPr>
        <w:t xml:space="preserve"> </w:t>
      </w:r>
      <w:r>
        <w:rPr>
          <w:rFonts w:ascii="Times New Roman" w:hAnsi="Times New Roman" w:cs="Times New Roman"/>
          <w:color w:val="000000"/>
          <w:sz w:val="20"/>
        </w:rPr>
        <w:t xml:space="preserve">policy slightly exceeds the gate. The gate’s role is protective (it avoids the optimizer’s worst picks), not accuracy-maximizing.</w:t>
      </w:r>
    </w:p>
    <w:tbl>
      <w:tblPr>
        <w:tblStyle w:val="Table"/>
        <w:tblW w:type="dxa" w:w="4596"/>
        <w:tblLook w:firstRow="1" w:lastRow="0" w:firstColumn="0" w:lastColumn="0" w:noHBand="0" w:noVBand="0" w:val="0020"/>
        <w:tblCaption w:val="Deployable selection-rule ablation (mean ARI, 12 datasets, 5 seeds). Removing the rho guard (best-internal) and removing AMR-DE from the gate both leave performance essentially unchanged; the trivial ‘always-EMR-CGC’ policy slightly exceeds the gate. The gate’s role is protective (it avoids the optimizer’s worst picks), not accuracy-maximizing."/>
        <w:tblLayout w:type="fixed"/>
      </w:tblPr>
      <w:tblGrid>
        <w:gridCol w:w="1532"/>
        <w:gridCol w:w="1532"/>
        <w:gridCol w:w="1532"/>
      </w:tblGrid>
      <w:tr>
        <w:trPr>
          <w:tblHeader w:val="on"/>
        </w:trPr>
        <w:tc>
          <w:tcPr>
            <w:tcW w:type="dxa" w:w="1532"/>
          </w:tcPr>
          <w:p>
            <w:pPr>
              <w:pStyle w:val="Compact"/>
              <w:jc w:val="left"/>
            </w:pPr>
            <w:r>
              <w:t xml:space="preserve">Deployable policy</w:t>
            </w:r>
          </w:p>
        </w:tc>
        <w:tc>
          <w:tcPr>
            <w:tcW w:type="dxa" w:w="1532"/>
          </w:tcPr>
          <w:p>
            <w:pPr>
              <w:pStyle w:val="Compact"/>
              <w:jc w:val="center"/>
            </w:pPr>
            <w:r>
              <w:t xml:space="preserve">Mean ARI</w:t>
            </w:r>
          </w:p>
        </w:tc>
        <w:tc>
          <w:tcPr>
            <w:tcW w:type="dxa" w:w="1532"/>
          </w:tcPr>
          <w:p>
            <w:pPr>
              <w:pStyle w:val="Compact"/>
              <w:jc w:val="center"/>
            </w:pPr>
            <w:r>
              <w:t xml:space="preserve">Oracle-gain recovery</w:t>
            </w:r>
          </w:p>
        </w:tc>
      </w:tr>
      <w:tr>
        <w:tc>
          <w:tcPr>
            <w:tcW w:type="dxa" w:w="1532"/>
          </w:tcPr>
          <w:p>
            <w:pPr>
              <w:pStyle w:val="Compact"/>
              <w:jc w:val="left"/>
            </w:pPr>
            <w:r>
              <w:t xml:space="preserve">Always-Baseline (no selection)</w:t>
            </w:r>
          </w:p>
        </w:tc>
        <w:tc>
          <w:tcPr>
            <w:tcW w:type="dxa" w:w="1532"/>
          </w:tcPr>
          <w:p>
            <w:pPr>
              <w:pStyle w:val="Compact"/>
              <w:jc w:val="center"/>
            </w:pPr>
            <w:r>
              <w:t xml:space="preserve">0.580</w:t>
            </w:r>
          </w:p>
        </w:tc>
        <w:tc>
          <w:tcPr>
            <w:tcW w:type="dxa" w:w="1532"/>
          </w:tcPr>
          <w:p>
            <w:pPr>
              <w:pStyle w:val="Compact"/>
              <w:jc w:val="center"/>
            </w:pPr>
            <w:r>
              <w:t xml:space="preserve">+0%</w:t>
            </w:r>
          </w:p>
        </w:tc>
      </w:tr>
      <w:tr>
        <w:tc>
          <w:tcPr>
            <w:tcW w:type="dxa" w:w="1532"/>
          </w:tcPr>
          <w:p>
            <w:pPr>
              <w:pStyle w:val="Compact"/>
              <w:jc w:val="left"/>
            </w:pPr>
            <w:r>
              <w:t xml:space="preserve">Always-EMR-CGC</w:t>
            </w:r>
          </w:p>
        </w:tc>
        <w:tc>
          <w:tcPr>
            <w:tcW w:type="dxa" w:w="1532"/>
          </w:tcPr>
          <w:p>
            <w:pPr>
              <w:pStyle w:val="Compact"/>
              <w:jc w:val="center"/>
            </w:pPr>
            <w:r>
              <w:t xml:space="preserve">0.631</w:t>
            </w:r>
          </w:p>
        </w:tc>
        <w:tc>
          <w:tcPr>
            <w:tcW w:type="dxa" w:w="1532"/>
          </w:tcPr>
          <w:p>
            <w:pPr>
              <w:pStyle w:val="Compact"/>
              <w:jc w:val="center"/>
            </w:pPr>
            <w:r>
              <w:t xml:space="preserve">+77%</w:t>
            </w:r>
          </w:p>
        </w:tc>
      </w:tr>
      <w:tr>
        <w:tc>
          <w:tcPr>
            <w:tcW w:type="dxa" w:w="1532"/>
          </w:tcPr>
          <w:p>
            <w:pPr>
              <w:pStyle w:val="Compact"/>
              <w:jc w:val="left"/>
            </w:pPr>
            <w:r>
              <w:t xml:space="preserve">Best-internal (no rho guard)</w:t>
            </w:r>
          </w:p>
        </w:tc>
        <w:tc>
          <w:tcPr>
            <w:tcW w:type="dxa" w:w="1532"/>
          </w:tcPr>
          <w:p>
            <w:pPr>
              <w:pStyle w:val="Compact"/>
              <w:jc w:val="center"/>
            </w:pPr>
            <w:r>
              <w:t xml:space="preserve">0.624</w:t>
            </w:r>
          </w:p>
        </w:tc>
        <w:tc>
          <w:tcPr>
            <w:tcW w:type="dxa" w:w="1532"/>
          </w:tcPr>
          <w:p>
            <w:pPr>
              <w:pStyle w:val="Compact"/>
              <w:jc w:val="center"/>
            </w:pPr>
            <w:r>
              <w:t xml:space="preserve">+66%</w:t>
            </w:r>
          </w:p>
        </w:tc>
      </w:tr>
      <w:tr>
        <w:tc>
          <w:tcPr>
            <w:tcW w:type="dxa" w:w="1532"/>
          </w:tcPr>
          <w:p>
            <w:pPr>
              <w:pStyle w:val="Compact"/>
              <w:jc w:val="left"/>
            </w:pPr>
            <w:r>
              <w:t xml:space="preserve">QualityGate w/o AMR-DE</w:t>
            </w:r>
          </w:p>
        </w:tc>
        <w:tc>
          <w:tcPr>
            <w:tcW w:type="dxa" w:w="1532"/>
          </w:tcPr>
          <w:p>
            <w:pPr>
              <w:pStyle w:val="Compact"/>
              <w:jc w:val="center"/>
            </w:pPr>
            <w:r>
              <w:t xml:space="preserve">0.621</w:t>
            </w:r>
          </w:p>
        </w:tc>
        <w:tc>
          <w:tcPr>
            <w:tcW w:type="dxa" w:w="1532"/>
          </w:tcPr>
          <w:p>
            <w:pPr>
              <w:pStyle w:val="Compact"/>
              <w:jc w:val="center"/>
            </w:pPr>
            <w:r>
              <w:t xml:space="preserve">+62%</w:t>
            </w:r>
          </w:p>
        </w:tc>
      </w:tr>
      <w:tr>
        <w:tc>
          <w:tcPr>
            <w:tcW w:type="dxa" w:w="1532"/>
          </w:tcPr>
          <w:p>
            <w:pPr>
              <w:pStyle w:val="Compact"/>
              <w:jc w:val="left"/>
            </w:pPr>
            <w:r>
              <w:rPr>
                <w:b/>
                <w:bCs/>
              </w:rPr>
              <w:t xml:space="preserve">QualityGate (full)</w:t>
            </w:r>
          </w:p>
        </w:tc>
        <w:tc>
          <w:tcPr>
            <w:tcW w:type="dxa" w:w="1532"/>
          </w:tcPr>
          <w:p>
            <w:pPr>
              <w:pStyle w:val="Compact"/>
              <w:jc w:val="center"/>
            </w:pPr>
            <w:r>
              <w:t xml:space="preserve">0.624</w:t>
            </w:r>
          </w:p>
        </w:tc>
        <w:tc>
          <w:tcPr>
            <w:tcW w:type="dxa" w:w="1532"/>
          </w:tcPr>
          <w:p>
            <w:pPr>
              <w:pStyle w:val="Compact"/>
              <w:jc w:val="center"/>
            </w:pPr>
            <w:r>
              <w:t xml:space="preserve">+66%</w:t>
            </w:r>
          </w:p>
        </w:tc>
      </w:tr>
      <w:tr>
        <w:tc>
          <w:tcPr>
            <w:tcW w:type="dxa" w:w="1532"/>
          </w:tcPr>
          <w:p>
            <w:pPr>
              <w:pStyle w:val="Compact"/>
              <w:jc w:val="left"/>
            </w:pPr>
            <w:r>
              <w:rPr>
                <w:i/>
                <w:iCs/>
              </w:rPr>
              <w:t xml:space="preserve">Oracle (upper bound)</w:t>
            </w:r>
          </w:p>
        </w:tc>
        <w:tc>
          <w:tcPr>
            <w:tcW w:type="dxa" w:w="1532"/>
          </w:tcPr>
          <w:p>
            <w:pPr>
              <w:pStyle w:val="Compact"/>
              <w:jc w:val="center"/>
            </w:pPr>
            <w:r>
              <w:t xml:space="preserve">0.646</w:t>
            </w:r>
          </w:p>
        </w:tc>
        <w:tc>
          <w:tcPr>
            <w:tcW w:type="dxa" w:w="1532"/>
          </w:tcPr>
          <w:p>
            <w:pPr>
              <w:pStyle w:val="Compact"/>
              <w:jc w:val="center"/>
            </w:pPr>
            <w:r>
              <w:t xml:space="preserve">+100%</w:t>
            </w:r>
          </w:p>
        </w:tc>
      </w:tr>
    </w:tbl>
    <w:bookmarkEnd w:id="140"/>
    <w:bookmarkEnd w:id="141"/>
    <w:bookmarkStart w:id="143" w:name="how-much-of-the-oracle-is-deployable"/>
    <w:p>
      <w:pPr>
        <w:pStyle w:val="Heading2"/>
        <w:jc w:val="left"/>
      </w:pPr>
      <w:r>
        <w:rPr>
          <w:rFonts w:ascii="Times New Roman" w:hAnsi="Times New Roman" w:cs="Times New Roman"/>
          <w:b/>
          <w:color w:val="C00000"/>
          <w:sz w:val="22"/>
        </w:rPr>
        <w:t>How Much of the Oracle Is Deployable?</w:t>
      </w:r>
    </w:p>
    <w:p>
      <w:pPr>
        <w:pStyle w:val="FirstParagraph"/>
        <w:spacing w:before="0" w:after="0" w:line="240" w:lineRule="auto"/>
        <w:ind w:firstLine="330"/>
        <w:jc w:val="both"/>
      </w:pPr>
      <w:r>
        <w:rPr>
          <w:color w:val="C00000"/>
        </w:rPr>
        <w:t xml:space="preserve">The main results (Table </w:t>
      </w:r>
      <w:hyperlink w:anchor="tab:main_results">
        <w:r>
          <w:rPr>
            <w:rStyle w:val="Hyperlink"/>
          </w:rPr>
          <w:t xml:space="preserve">5</w:t>
        </w:r>
      </w:hyperlink>
      <w:r>
        <w:rPr>
          <w:color w:val="C00000"/>
        </w:rPr>
        <w:t xml:space="preserve">) select the best engine per dataset using ground-truth ARI—an oracle unavailable at deployment, where the gate must choose from internal metrics alone. Table </w:t>
      </w:r>
      <w:hyperlink w:anchor="tab:gate">
        <w:r>
          <w:rPr>
            <w:rStyle w:val="Hyperlink"/>
          </w:rPr>
          <w:t xml:space="preserve">18</w:t>
        </w:r>
      </w:hyperlink>
      <w:r>
        <w:rPr>
          <w:color w:val="C00000"/>
        </w:rPr>
        <w:t xml:space="preserve"> </w:t>
      </w:r>
      <w:r>
        <w:rPr>
          <w:color w:val="C00000"/>
        </w:rPr>
        <w:t xml:space="preserve">quantifies the gap (five seeds, full data): the deployable gate reaches mean ARI</w:t>
      </w:r>
      <w:r>
        <w:rPr>
          <w:color w:val="C00000"/>
        </w:rPr>
        <w:t xml:space="preserve"> </w:t>
      </w:r>
      <m:oMath>
        <m:r>
          <m:t>0.623</m:t>
        </m:r>
      </m:oMath>
      <w:r>
        <w:rPr>
          <w:color w:val="C00000"/>
        </w:rPr>
        <w:t xml:space="preserve"> </w:t>
      </w:r>
      <w:r>
        <w:rPr>
          <w:color w:val="C00000"/>
        </w:rPr>
        <w:t xml:space="preserve">against the oracle’s</w:t>
      </w:r>
      <w:r>
        <w:rPr>
          <w:color w:val="C00000"/>
        </w:rPr>
        <w:t xml:space="preserve"> </w:t>
      </w:r>
      <m:oMath>
        <m:r>
          <m:t>0.646</m:t>
        </m:r>
      </m:oMath>
      <w:r>
        <w:rPr>
          <w:color w:val="C00000"/>
        </w:rPr>
        <w:t xml:space="preserve"> </w:t>
      </w:r>
      <w:r>
        <w:rPr>
          <w:color w:val="C00000"/>
        </w:rPr>
        <w:t xml:space="preserve">and the baseline’s</w:t>
      </w:r>
      <w:r>
        <w:rPr>
          <w:color w:val="C00000"/>
        </w:rPr>
        <w:t xml:space="preserve"> </w:t>
      </w:r>
      <m:oMath>
        <m:r>
          <m:t>0.580</m:t>
        </m:r>
      </m:oMath>
      <w:r>
        <w:rPr>
          <w:color w:val="C00000"/>
        </w:rPr>
        <w:t xml:space="preserve">, recovering</w:t>
      </w:r>
      <w:r>
        <w:rPr>
          <w:color w:val="C00000"/>
        </w:rPr>
        <w:t xml:space="preserve"> </w:t>
      </w:r>
      <m:oMath>
        <m:r>
          <m:t>65</m:t>
        </m:r>
        <m:r>
          <m:rPr>
            <m:sty m:val="p"/>
          </m:rPr>
          <m:t>%</m:t>
        </m:r>
      </m:oMath>
      <w:r>
        <w:rPr>
          <w:color w:val="C00000"/>
        </w:rPr>
        <w:t xml:space="preserve"> </w:t>
      </w:r>
      <w:r>
        <w:rPr>
          <w:color w:val="C00000"/>
        </w:rPr>
        <w:t xml:space="preserve">of the oracle’s gain over the baseline and agreeing with the oracle’s engine choice on</w:t>
      </w:r>
      <w:r>
        <w:rPr>
          <w:color w:val="C00000"/>
        </w:rPr>
        <w:t xml:space="preserve"> </w:t>
      </w:r>
      <m:oMath>
        <m:r>
          <m:t>6</m:t>
        </m:r>
      </m:oMath>
      <w:r>
        <w:rPr>
          <w:color w:val="C00000"/>
        </w:rPr>
        <w:t xml:space="preserve"> </w:t>
      </w:r>
      <w:r>
        <w:rPr>
          <w:color w:val="C00000"/>
        </w:rPr>
        <w:t xml:space="preserve">of</w:t>
      </w:r>
      <w:r>
        <w:rPr>
          <w:color w:val="C00000"/>
        </w:rPr>
        <w:t xml:space="preserve"> </w:t>
      </w:r>
      <m:oMath>
        <m:r>
          <m:t>12</m:t>
        </m:r>
      </m:oMath>
      <w:r>
        <w:rPr>
          <w:color w:val="C00000"/>
        </w:rPr>
        <w:t xml:space="preserve"> </w:t>
      </w:r>
      <w:r>
        <w:rPr>
          <w:color w:val="C00000"/>
        </w:rPr>
        <w:t xml:space="preserve">datasets. The residual gap is a direct expression of the internal–external misalignment that motivates this work: the gate errs exactly where an engine is best by ARI but not by internal score—most visibly on Olivetti, where it prefers AMR-DE (</w:t>
      </w:r>
      <m:oMath>
        <m:r>
          <m:t>0.237</m:t>
        </m:r>
      </m:oMath>
      <w:r>
        <w:rPr>
          <w:color w:val="C00000"/>
        </w:rPr>
        <w:t xml:space="preserve">) over the stronger EMR-CGC (</w:t>
      </w:r>
      <m:oMath>
        <m:r>
          <m:t>0.337</m:t>
        </m:r>
      </m:oMath>
      <w:r>
        <w:rPr>
          <w:color w:val="C00000"/>
        </w:rPr>
        <w:t xml:space="preserve">). The same mechanism makes the gate non-monotone over the baseline—on Wine it prefers AMR-DE and loses</w:t>
      </w:r>
      <w:r>
        <w:rPr>
          <w:color w:val="C00000"/>
        </w:rPr>
        <w:t xml:space="preserve"> </w:t>
      </w:r>
      <m:oMath>
        <m:r>
          <m:t>0.011</m:t>
        </m:r>
      </m:oMath>
      <w:r>
        <w:rPr>
          <w:color w:val="C00000"/>
        </w:rPr>
        <w:t xml:space="preserve"> </w:t>
      </w:r>
      <w:r>
        <w:rPr>
          <w:color w:val="C00000"/>
        </w:rPr>
        <w:t xml:space="preserve">ARI—and, in aggregate, leaves it slightly below EMR-CGC alone (</w:t>
      </w:r>
      <m:oMath>
        <m:r>
          <m:t>0.623</m:t>
        </m:r>
      </m:oMath>
      <w:r>
        <w:rPr>
          <w:color w:val="C00000"/>
        </w:rPr>
        <w:t xml:space="preserve"> </w:t>
      </w:r>
      <w:r>
        <w:rPr>
          <w:color w:val="C00000"/>
        </w:rPr>
        <w:t xml:space="preserve">vs</w:t>
      </w:r>
      <w:r>
        <w:rPr>
          <w:color w:val="C00000"/>
        </w:rPr>
        <w:t xml:space="preserve"> </w:t>
      </w:r>
      <m:oMath>
        <m:r>
          <m:t>0.631</m:t>
        </m:r>
      </m:oMath>
      <w:r>
        <w:rPr>
          <w:color w:val="C00000"/>
        </w:rPr>
        <w:t xml:space="preserve">). We therefore treat the oracle as an upper bound and present the gate as a conservative, honestly deployable rule, and regard closing their gap—better label-free proxies for external quality—as the central open problem. The ensemble’s own ingredients invite scrutiny, beginning with the SNN graph on which EMR-CGC is built.</w:t>
      </w:r>
    </w:p>
    <w:bookmarkStart w:id="142" w:name="tab:gate"/>
    <w:p>
      <w:pPr>
        <w:pStyle w:val="TableCaption"/>
        <w:jc w:val="center"/>
      </w:pPr>
      <w:r>
        <w:rPr>
          <w:rFonts w:ascii="Times New Roman" w:hAnsi="Times New Roman" w:cs="Times New Roman"/>
          <w:color w:val="000000"/>
          <w:sz w:val="20"/>
        </w:rPr>
        <w:t xml:space="preserve">Table 18. </w:t>
      </w:r>
      <w:r>
        <w:rPr>
          <w:rFonts w:ascii="Times New Roman" w:hAnsi="Times New Roman" w:cs="Times New Roman"/>
          <w:color w:val="000000"/>
          <w:sz w:val="20"/>
        </w:rPr>
        <w:t xml:space="preserve">Deployable QualityGate (internal metrics, no labels) vs. the oracle upper bound, mean ARI over 5 seeds.</w:t>
      </w:r>
      <w:r>
        <w:rPr>
          <w:rFonts w:ascii="Times New Roman" w:hAnsi="Times New Roman" w:cs="Times New Roman"/>
          <w:color w:val="000000"/>
          <w:sz w:val="20"/>
        </w:rPr>
        <w:t xml:space="preserve"> </w:t>
      </w:r>
      <m:oMath>
        <m:r>
          <m:rPr>
            <m:sty m:val="p"/>
          </m:rPr>
          <m:t>Δ</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 oracle</w:t>
      </w:r>
      <w:r>
        <w:rPr>
          <w:rFonts w:ascii="Times New Roman" w:hAnsi="Times New Roman" w:cs="Times New Roman"/>
          <w:color w:val="000000"/>
          <w:sz w:val="20"/>
        </w:rPr>
        <w:t xml:space="preserve"> </w:t>
      </w:r>
      <m:oMath>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gate.</w:t>
      </w:r>
    </w:p>
    <w:tbl>
      <w:tblPr>
        <w:tblStyle w:val="Table"/>
        <w:tblW w:type="dxa" w:w="4596"/>
        <w:tblLook w:firstRow="1" w:lastRow="0" w:firstColumn="0" w:lastColumn="0" w:noHBand="0" w:noVBand="0" w:val="0020"/>
        <w:tblCaption w:val="Deployable QualityGate (internal metrics, no labels) vs. the oracle upper bound, mean ARI over 5 seeds. \Delta = oracle - gate."/>
        <w:tblLayout w:type="fixed"/>
      </w:tblPr>
      <w:tblGrid>
        <w:gridCol w:w="1149"/>
        <w:gridCol w:w="1149"/>
        <w:gridCol w:w="1149"/>
        <w:gridCol w:w="1149"/>
      </w:tblGrid>
      <w:tr>
        <w:trPr>
          <w:tblHeader w:val="on"/>
        </w:trPr>
        <w:tc>
          <w:tcPr>
            <w:tcW w:type="dxa" w:w="1149"/>
          </w:tcPr>
          <w:p>
            <w:pPr>
              <w:pStyle w:val="Compact"/>
              <w:jc w:val="left"/>
            </w:pPr>
            <w:r>
              <w:t xml:space="preserve">Dataset</w:t>
            </w:r>
          </w:p>
        </w:tc>
        <w:tc>
          <w:tcPr>
            <w:tcW w:type="dxa" w:w="1149"/>
          </w:tcPr>
          <w:p>
            <w:pPr>
              <w:pStyle w:val="Compact"/>
              <w:jc w:val="center"/>
            </w:pPr>
            <w:r>
              <w:t xml:space="preserve">Gate ARI</w:t>
            </w:r>
          </w:p>
        </w:tc>
        <w:tc>
          <w:tcPr>
            <w:tcW w:type="dxa" w:w="1149"/>
          </w:tcPr>
          <w:p>
            <w:pPr>
              <w:pStyle w:val="Compact"/>
              <w:jc w:val="center"/>
            </w:pPr>
            <w:r>
              <w:t xml:space="preserve">Oracle ARI</w:t>
            </w:r>
          </w:p>
        </w:tc>
        <w:tc>
          <w:tcPr>
            <w:tcW w:type="dxa" w:w="1149"/>
          </w:tcPr>
          <w:p>
            <w:pPr>
              <w:pStyle w:val="Compact"/>
              <w:jc w:val="center"/>
            </w:pPr>
            <m:oMath>
              <m:r>
                <m:rPr>
                  <m:sty m:val="p"/>
                </m:rPr>
                <m:t>Δ</m:t>
              </m:r>
            </m:oMath>
          </w:p>
        </w:tc>
      </w:tr>
      <w:tr>
        <w:tc>
          <w:tcPr>
            <w:tcW w:type="dxa" w:w="1149"/>
          </w:tcPr>
          <w:p>
            <w:pPr>
              <w:pStyle w:val="Compact"/>
              <w:jc w:val="left"/>
            </w:pPr>
            <w:r>
              <w:t xml:space="preserve">Wine</w:t>
            </w:r>
          </w:p>
        </w:tc>
        <w:tc>
          <w:tcPr>
            <w:tcW w:type="dxa" w:w="1149"/>
          </w:tcPr>
          <w:p>
            <w:pPr>
              <w:pStyle w:val="Compact"/>
              <w:jc w:val="center"/>
            </w:pPr>
            <w:r>
              <w:t xml:space="preserve">0.791</w:t>
            </w:r>
          </w:p>
        </w:tc>
        <w:tc>
          <w:tcPr>
            <w:tcW w:type="dxa" w:w="1149"/>
          </w:tcPr>
          <w:p>
            <w:pPr>
              <w:pStyle w:val="Compact"/>
              <w:jc w:val="center"/>
            </w:pPr>
            <w:r>
              <w:t xml:space="preserve">0.802</w:t>
            </w:r>
          </w:p>
        </w:tc>
        <w:tc>
          <w:tcPr>
            <w:tcW w:type="dxa" w:w="1149"/>
          </w:tcPr>
          <w:p>
            <w:pPr>
              <w:pStyle w:val="Compact"/>
              <w:jc w:val="center"/>
            </w:pPr>
            <w:r>
              <w:t xml:space="preserve">+0.011</w:t>
            </w:r>
          </w:p>
        </w:tc>
      </w:tr>
      <w:tr>
        <w:tc>
          <w:tcPr>
            <w:tcW w:type="dxa" w:w="1149"/>
          </w:tcPr>
          <w:p>
            <w:pPr>
              <w:pStyle w:val="Compact"/>
              <w:jc w:val="left"/>
            </w:pPr>
            <w:r>
              <w:t xml:space="preserve">Glass</w:t>
            </w:r>
          </w:p>
        </w:tc>
        <w:tc>
          <w:tcPr>
            <w:tcW w:type="dxa" w:w="1149"/>
          </w:tcPr>
          <w:p>
            <w:pPr>
              <w:pStyle w:val="Compact"/>
              <w:jc w:val="center"/>
            </w:pPr>
            <w:r>
              <w:t xml:space="preserve">0.169</w:t>
            </w:r>
          </w:p>
        </w:tc>
        <w:tc>
          <w:tcPr>
            <w:tcW w:type="dxa" w:w="1149"/>
          </w:tcPr>
          <w:p>
            <w:pPr>
              <w:pStyle w:val="Compact"/>
              <w:jc w:val="center"/>
            </w:pPr>
            <w:r>
              <w:t xml:space="preserve">0.172</w:t>
            </w:r>
          </w:p>
        </w:tc>
        <w:tc>
          <w:tcPr>
            <w:tcW w:type="dxa" w:w="1149"/>
          </w:tcPr>
          <w:p>
            <w:pPr>
              <w:pStyle w:val="Compact"/>
              <w:jc w:val="center"/>
            </w:pPr>
            <w:r>
              <w:t xml:space="preserve">+0.003</w:t>
            </w:r>
          </w:p>
        </w:tc>
      </w:tr>
      <w:tr>
        <w:tc>
          <w:tcPr>
            <w:tcW w:type="dxa" w:w="1149"/>
          </w:tcPr>
          <w:p>
            <w:pPr>
              <w:pStyle w:val="Compact"/>
              <w:jc w:val="left"/>
            </w:pPr>
            <w:r>
              <w:t xml:space="preserve">Olivetti</w:t>
            </w:r>
          </w:p>
        </w:tc>
        <w:tc>
          <w:tcPr>
            <w:tcW w:type="dxa" w:w="1149"/>
          </w:tcPr>
          <w:p>
            <w:pPr>
              <w:pStyle w:val="Compact"/>
              <w:jc w:val="center"/>
            </w:pPr>
            <w:r>
              <w:t xml:space="preserve">0.237</w:t>
            </w:r>
          </w:p>
        </w:tc>
        <w:tc>
          <w:tcPr>
            <w:tcW w:type="dxa" w:w="1149"/>
          </w:tcPr>
          <w:p>
            <w:pPr>
              <w:pStyle w:val="Compact"/>
              <w:jc w:val="center"/>
            </w:pPr>
            <w:r>
              <w:t xml:space="preserve">0.337</w:t>
            </w:r>
          </w:p>
        </w:tc>
        <w:tc>
          <w:tcPr>
            <w:tcW w:type="dxa" w:w="1149"/>
          </w:tcPr>
          <w:p>
            <w:pPr>
              <w:pStyle w:val="Compact"/>
              <w:jc w:val="center"/>
            </w:pPr>
            <w:r>
              <w:t xml:space="preserve">+0.101</w:t>
            </w:r>
          </w:p>
        </w:tc>
      </w:tr>
      <w:tr>
        <w:tc>
          <w:tcPr>
            <w:tcW w:type="dxa" w:w="1149"/>
          </w:tcPr>
          <w:p>
            <w:pPr>
              <w:pStyle w:val="Compact"/>
              <w:jc w:val="left"/>
            </w:pPr>
            <w:r>
              <w:t xml:space="preserve">CNAE-9</w:t>
            </w:r>
          </w:p>
        </w:tc>
        <w:tc>
          <w:tcPr>
            <w:tcW w:type="dxa" w:w="1149"/>
          </w:tcPr>
          <w:p>
            <w:pPr>
              <w:pStyle w:val="Compact"/>
              <w:jc w:val="center"/>
            </w:pPr>
            <w:r>
              <w:t xml:space="preserve">0.642</w:t>
            </w:r>
          </w:p>
        </w:tc>
        <w:tc>
          <w:tcPr>
            <w:tcW w:type="dxa" w:w="1149"/>
          </w:tcPr>
          <w:p>
            <w:pPr>
              <w:pStyle w:val="Compact"/>
              <w:jc w:val="center"/>
            </w:pPr>
            <w:r>
              <w:t xml:space="preserve">0.642</w:t>
            </w:r>
          </w:p>
        </w:tc>
        <w:tc>
          <w:tcPr>
            <w:tcW w:type="dxa" w:w="1149"/>
          </w:tcPr>
          <w:p>
            <w:pPr>
              <w:pStyle w:val="Compact"/>
              <w:jc w:val="center"/>
            </w:pPr>
            <w:r>
              <w:t xml:space="preserve">+0.000</w:t>
            </w:r>
          </w:p>
        </w:tc>
      </w:tr>
      <w:tr>
        <w:tc>
          <w:tcPr>
            <w:tcW w:type="dxa" w:w="1149"/>
          </w:tcPr>
          <w:p>
            <w:pPr>
              <w:pStyle w:val="Compact"/>
              <w:jc w:val="left"/>
            </w:pPr>
            <w:r>
              <w:t xml:space="preserve">COIL-20</w:t>
            </w:r>
          </w:p>
        </w:tc>
        <w:tc>
          <w:tcPr>
            <w:tcW w:type="dxa" w:w="1149"/>
          </w:tcPr>
          <w:p>
            <w:pPr>
              <w:pStyle w:val="Compact"/>
              <w:jc w:val="center"/>
            </w:pPr>
            <w:r>
              <w:t xml:space="preserve">0.754</w:t>
            </w:r>
          </w:p>
        </w:tc>
        <w:tc>
          <w:tcPr>
            <w:tcW w:type="dxa" w:w="1149"/>
          </w:tcPr>
          <w:p>
            <w:pPr>
              <w:pStyle w:val="Compact"/>
              <w:jc w:val="center"/>
            </w:pPr>
            <w:r>
              <w:t xml:space="preserve">0.789</w:t>
            </w:r>
          </w:p>
        </w:tc>
        <w:tc>
          <w:tcPr>
            <w:tcW w:type="dxa" w:w="1149"/>
          </w:tcPr>
          <w:p>
            <w:pPr>
              <w:pStyle w:val="Compact"/>
              <w:jc w:val="center"/>
            </w:pPr>
            <w:r>
              <w:t xml:space="preserve">+0.035</w:t>
            </w:r>
          </w:p>
        </w:tc>
      </w:tr>
      <w:tr>
        <w:tc>
          <w:tcPr>
            <w:tcW w:type="dxa" w:w="1149"/>
          </w:tcPr>
          <w:p>
            <w:pPr>
              <w:pStyle w:val="Compact"/>
              <w:jc w:val="left"/>
            </w:pPr>
            <w:r>
              <w:t xml:space="preserve">Optdigits</w:t>
            </w:r>
          </w:p>
        </w:tc>
        <w:tc>
          <w:tcPr>
            <w:tcW w:type="dxa" w:w="1149"/>
          </w:tcPr>
          <w:p>
            <w:pPr>
              <w:pStyle w:val="Compact"/>
              <w:jc w:val="center"/>
            </w:pPr>
            <w:r>
              <w:t xml:space="preserve">0.848</w:t>
            </w:r>
          </w:p>
        </w:tc>
        <w:tc>
          <w:tcPr>
            <w:tcW w:type="dxa" w:w="1149"/>
          </w:tcPr>
          <w:p>
            <w:pPr>
              <w:pStyle w:val="Compact"/>
              <w:jc w:val="center"/>
            </w:pPr>
            <w:r>
              <w:t xml:space="preserve">0.861</w:t>
            </w:r>
          </w:p>
        </w:tc>
        <w:tc>
          <w:tcPr>
            <w:tcW w:type="dxa" w:w="1149"/>
          </w:tcPr>
          <w:p>
            <w:pPr>
              <w:pStyle w:val="Compact"/>
              <w:jc w:val="center"/>
            </w:pPr>
            <w:r>
              <w:t xml:space="preserve">+0.013</w:t>
            </w:r>
          </w:p>
        </w:tc>
      </w:tr>
      <w:tr>
        <w:tc>
          <w:tcPr>
            <w:tcW w:type="dxa" w:w="1149"/>
          </w:tcPr>
          <w:p>
            <w:pPr>
              <w:pStyle w:val="Compact"/>
              <w:jc w:val="left"/>
            </w:pPr>
            <w:r>
              <w:t xml:space="preserve">MFeat</w:t>
            </w:r>
          </w:p>
        </w:tc>
        <w:tc>
          <w:tcPr>
            <w:tcW w:type="dxa" w:w="1149"/>
          </w:tcPr>
          <w:p>
            <w:pPr>
              <w:pStyle w:val="Compact"/>
              <w:jc w:val="center"/>
            </w:pPr>
            <w:r>
              <w:t xml:space="preserve">0.939</w:t>
            </w:r>
          </w:p>
        </w:tc>
        <w:tc>
          <w:tcPr>
            <w:tcW w:type="dxa" w:w="1149"/>
          </w:tcPr>
          <w:p>
            <w:pPr>
              <w:pStyle w:val="Compact"/>
              <w:jc w:val="center"/>
            </w:pPr>
            <w:r>
              <w:t xml:space="preserve">0.939</w:t>
            </w:r>
          </w:p>
        </w:tc>
        <w:tc>
          <w:tcPr>
            <w:tcW w:type="dxa" w:w="1149"/>
          </w:tcPr>
          <w:p>
            <w:pPr>
              <w:pStyle w:val="Compact"/>
              <w:jc w:val="center"/>
            </w:pPr>
            <w:r>
              <w:t xml:space="preserve">+0.000</w:t>
            </w:r>
          </w:p>
        </w:tc>
      </w:tr>
      <w:tr>
        <w:tc>
          <w:tcPr>
            <w:tcW w:type="dxa" w:w="1149"/>
          </w:tcPr>
          <w:p>
            <w:pPr>
              <w:pStyle w:val="Compact"/>
              <w:jc w:val="left"/>
            </w:pPr>
            <w:r>
              <w:t xml:space="preserve">Segment.</w:t>
            </w:r>
          </w:p>
        </w:tc>
        <w:tc>
          <w:tcPr>
            <w:tcW w:type="dxa" w:w="1149"/>
          </w:tcPr>
          <w:p>
            <w:pPr>
              <w:pStyle w:val="Compact"/>
              <w:jc w:val="center"/>
            </w:pPr>
            <w:r>
              <w:t xml:space="preserve">0.413</w:t>
            </w:r>
          </w:p>
        </w:tc>
        <w:tc>
          <w:tcPr>
            <w:tcW w:type="dxa" w:w="1149"/>
          </w:tcPr>
          <w:p>
            <w:pPr>
              <w:pStyle w:val="Compact"/>
              <w:jc w:val="center"/>
            </w:pPr>
            <w:r>
              <w:t xml:space="preserve">0.437</w:t>
            </w:r>
          </w:p>
        </w:tc>
        <w:tc>
          <w:tcPr>
            <w:tcW w:type="dxa" w:w="1149"/>
          </w:tcPr>
          <w:p>
            <w:pPr>
              <w:pStyle w:val="Compact"/>
              <w:jc w:val="center"/>
            </w:pPr>
            <w:r>
              <w:t xml:space="preserve">+0.024</w:t>
            </w:r>
          </w:p>
        </w:tc>
      </w:tr>
      <w:tr>
        <w:tc>
          <w:tcPr>
            <w:tcW w:type="dxa" w:w="1149"/>
          </w:tcPr>
          <w:p>
            <w:pPr>
              <w:pStyle w:val="Compact"/>
              <w:jc w:val="left"/>
            </w:pPr>
            <w:r>
              <w:t xml:space="preserve">ISOLET</w:t>
            </w:r>
          </w:p>
        </w:tc>
        <w:tc>
          <w:tcPr>
            <w:tcW w:type="dxa" w:w="1149"/>
          </w:tcPr>
          <w:p>
            <w:pPr>
              <w:pStyle w:val="Compact"/>
              <w:jc w:val="center"/>
            </w:pPr>
            <w:r>
              <w:t xml:space="preserve">0.476</w:t>
            </w:r>
          </w:p>
        </w:tc>
        <w:tc>
          <w:tcPr>
            <w:tcW w:type="dxa" w:w="1149"/>
          </w:tcPr>
          <w:p>
            <w:pPr>
              <w:pStyle w:val="Compact"/>
              <w:jc w:val="center"/>
            </w:pPr>
            <w:r>
              <w:t xml:space="preserve">0.516</w:t>
            </w:r>
          </w:p>
        </w:tc>
        <w:tc>
          <w:tcPr>
            <w:tcW w:type="dxa" w:w="1149"/>
          </w:tcPr>
          <w:p>
            <w:pPr>
              <w:pStyle w:val="Compact"/>
              <w:jc w:val="center"/>
            </w:pPr>
            <w:r>
              <w:t xml:space="preserve">+0.040</w:t>
            </w:r>
          </w:p>
        </w:tc>
      </w:tr>
      <w:tr>
        <w:tc>
          <w:tcPr>
            <w:tcW w:type="dxa" w:w="1149"/>
          </w:tcPr>
          <w:p>
            <w:pPr>
              <w:pStyle w:val="Compact"/>
              <w:jc w:val="left"/>
            </w:pPr>
            <w:r>
              <w:t xml:space="preserve">Satimage</w:t>
            </w:r>
          </w:p>
        </w:tc>
        <w:tc>
          <w:tcPr>
            <w:tcW w:type="dxa" w:w="1149"/>
          </w:tcPr>
          <w:p>
            <w:pPr>
              <w:pStyle w:val="Compact"/>
              <w:jc w:val="center"/>
            </w:pPr>
            <w:r>
              <w:t xml:space="preserve">0.525</w:t>
            </w:r>
          </w:p>
        </w:tc>
        <w:tc>
          <w:tcPr>
            <w:tcW w:type="dxa" w:w="1149"/>
          </w:tcPr>
          <w:p>
            <w:pPr>
              <w:pStyle w:val="Compact"/>
              <w:jc w:val="center"/>
            </w:pPr>
            <w:r>
              <w:t xml:space="preserve">0.541</w:t>
            </w:r>
          </w:p>
        </w:tc>
        <w:tc>
          <w:tcPr>
            <w:tcW w:type="dxa" w:w="1149"/>
          </w:tcPr>
          <w:p>
            <w:pPr>
              <w:pStyle w:val="Compact"/>
              <w:jc w:val="center"/>
            </w:pPr>
            <w:r>
              <w:t xml:space="preserve">+0.016</w:t>
            </w:r>
          </w:p>
        </w:tc>
      </w:tr>
      <w:tr>
        <w:tc>
          <w:tcPr>
            <w:tcW w:type="dxa" w:w="1149"/>
          </w:tcPr>
          <w:p>
            <w:pPr>
              <w:pStyle w:val="Compact"/>
              <w:jc w:val="left"/>
            </w:pPr>
            <w:r>
              <w:t xml:space="preserve">USPS</w:t>
            </w:r>
          </w:p>
        </w:tc>
        <w:tc>
          <w:tcPr>
            <w:tcW w:type="dxa" w:w="1149"/>
          </w:tcPr>
          <w:p>
            <w:pPr>
              <w:pStyle w:val="Compact"/>
              <w:jc w:val="center"/>
            </w:pPr>
            <w:r>
              <w:t xml:space="preserve">0.871</w:t>
            </w:r>
          </w:p>
        </w:tc>
        <w:tc>
          <w:tcPr>
            <w:tcW w:type="dxa" w:w="1149"/>
          </w:tcPr>
          <w:p>
            <w:pPr>
              <w:pStyle w:val="Compact"/>
              <w:jc w:val="center"/>
            </w:pPr>
            <w:r>
              <w:t xml:space="preserve">0.900</w:t>
            </w:r>
          </w:p>
        </w:tc>
        <w:tc>
          <w:tcPr>
            <w:tcW w:type="dxa" w:w="1149"/>
          </w:tcPr>
          <w:p>
            <w:pPr>
              <w:pStyle w:val="Compact"/>
              <w:jc w:val="center"/>
            </w:pPr>
            <w:r>
              <w:t xml:space="preserve">+0.029</w:t>
            </w:r>
          </w:p>
        </w:tc>
      </w:tr>
      <w:tr>
        <w:tc>
          <w:tcPr>
            <w:tcW w:type="dxa" w:w="1149"/>
          </w:tcPr>
          <w:p>
            <w:pPr>
              <w:pStyle w:val="Compact"/>
              <w:jc w:val="left"/>
            </w:pPr>
            <w:r>
              <w:t xml:space="preserve">PenDigits</w:t>
            </w:r>
          </w:p>
        </w:tc>
        <w:tc>
          <w:tcPr>
            <w:tcW w:type="dxa" w:w="1149"/>
          </w:tcPr>
          <w:p>
            <w:pPr>
              <w:pStyle w:val="Compact"/>
              <w:jc w:val="center"/>
            </w:pPr>
            <w:r>
              <w:t xml:space="preserve">0.811</w:t>
            </w:r>
          </w:p>
        </w:tc>
        <w:tc>
          <w:tcPr>
            <w:tcW w:type="dxa" w:w="1149"/>
          </w:tcPr>
          <w:p>
            <w:pPr>
              <w:pStyle w:val="Compact"/>
              <w:jc w:val="center"/>
            </w:pPr>
            <w:r>
              <w:t xml:space="preserve">0.819</w:t>
            </w:r>
          </w:p>
        </w:tc>
        <w:tc>
          <w:tcPr>
            <w:tcW w:type="dxa" w:w="1149"/>
          </w:tcPr>
          <w:p>
            <w:pPr>
              <w:pStyle w:val="Compact"/>
              <w:jc w:val="center"/>
            </w:pPr>
            <w:r>
              <w:t xml:space="preserve">+0.008</w:t>
            </w:r>
          </w:p>
        </w:tc>
      </w:tr>
      <w:tr>
        <w:tc>
          <w:tcPr>
            <w:tcW w:type="dxa" w:w="1149"/>
          </w:tcPr>
          <w:p>
            <w:pPr>
              <w:pStyle w:val="Compact"/>
              <w:jc w:val="left"/>
            </w:pPr>
            <w:r>
              <w:rPr>
                <w:b/>
                <w:bCs/>
              </w:rPr>
              <w:t xml:space="preserve">Mean</w:t>
            </w:r>
          </w:p>
        </w:tc>
        <w:tc>
          <w:tcPr>
            <w:tcW w:type="dxa" w:w="1149"/>
          </w:tcPr>
          <w:p>
            <w:pPr>
              <w:pStyle w:val="Compact"/>
              <w:jc w:val="center"/>
            </w:pPr>
            <w:r>
              <w:rPr>
                <w:b/>
                <w:bCs/>
              </w:rPr>
              <w:t xml:space="preserve">0.623</w:t>
            </w:r>
          </w:p>
        </w:tc>
        <w:tc>
          <w:tcPr>
            <w:tcW w:type="dxa" w:w="1149"/>
          </w:tcPr>
          <w:p>
            <w:pPr>
              <w:pStyle w:val="Compact"/>
              <w:jc w:val="center"/>
            </w:pPr>
            <w:r>
              <w:t xml:space="preserve">0.646</w:t>
            </w:r>
          </w:p>
        </w:tc>
        <w:tc>
          <w:tcPr>
            <w:tcW w:type="dxa" w:w="1149"/>
          </w:tcPr>
          <w:p>
            <w:pPr>
              <w:pStyle w:val="Compact"/>
              <w:jc w:val="center"/>
            </w:pPr>
            <w:r>
              <w:t xml:space="preserve">+0.023</w:t>
            </w:r>
          </w:p>
        </w:tc>
      </w:tr>
    </w:tbl>
    <w:bookmarkEnd w:id="142"/>
    <w:bookmarkEnd w:id="143"/>
    <w:bookmarkStart w:id="144" w:name="snn-vs.-knn-graph-construction"/>
    <w:p>
      <w:pPr>
        <w:pStyle w:val="Heading2"/>
        <w:jc w:val="left"/>
      </w:pPr>
      <w:r>
        <w:rPr>
          <w:rFonts w:ascii="Times New Roman" w:hAnsi="Times New Roman" w:cs="Times New Roman"/>
          <w:b/>
          <w:color w:val="000000"/>
          <w:sz w:val="22"/>
        </w:rPr>
        <w:t>SNN vs. KNN Graph Construction</w:t>
      </w:r>
    </w:p>
    <w:p>
      <w:pPr>
        <w:pStyle w:val="FirstParagraph"/>
        <w:spacing w:before="0" w:after="0" w:line="240" w:lineRule="auto"/>
        <w:ind w:firstLine="330"/>
        <w:jc w:val="both"/>
      </w:pPr>
      <w:r>
        <w:t xml:space="preserve">SNN weighting is not a uniform win, and it is worth being precise about where it helps. Under a matched single-graph protocol (same UMAP representation,</w:t>
      </w:r>
      <w:r>
        <w:t xml:space="preserve"> </w:t>
      </w:r>
      <m:oMath>
        <m:r>
          <m:t>k</m:t>
        </m:r>
        <m:r>
          <m:rPr>
            <m:sty m:val="p"/>
          </m:rPr>
          <m:t>=</m:t>
        </m:r>
        <m:r>
          <m:t>35</m:t>
        </m:r>
      </m:oMath>
      <w:r>
        <w:t xml:space="preserve">,</w:t>
      </w:r>
      <w:r>
        <w:t xml:space="preserve"> </w:t>
      </w:r>
      <m:oMath>
        <m:r>
          <m:t>r</m:t>
        </m:r>
        <m:r>
          <m:rPr>
            <m:sty m:val="p"/>
          </m:rPr>
          <m:t>=</m:t>
        </m:r>
        <m:r>
          <m:t>0.25</m:t>
        </m:r>
      </m:oMath>
      <w:r>
        <w:t xml:space="preserve">), swapping KNN+Louvain for SNN+Leiden changes mean ARI only marginally—from 0.580 to 0.568, a</w:t>
      </w:r>
      <w:r>
        <w:t xml:space="preserve"> </w:t>
      </w:r>
      <m:oMath>
        <m:r>
          <m:t>1.2</m:t>
        </m:r>
      </m:oMath>
      <w:r>
        <w:t xml:space="preserve">-point decrease on average. The average, however, hides a clear pattern that follows the theory of §</w:t>
      </w:r>
      <w:hyperlink w:anchor="sec:rationale">
        <w:r>
          <w:rPr>
            <w:rStyle w:val="Hyperlink"/>
          </w:rPr>
          <w:t xml:space="preserve">3.6</w:t>
        </w:r>
      </w:hyperlink>
      <w:r>
        <w:t xml:space="preserve">: SNN improves precisely on the</w:t>
      </w:r>
      <w:r>
        <w:t xml:space="preserve"> </w:t>
      </w:r>
      <w:r>
        <w:rPr>
          <w:i/>
          <w:iCs/>
        </w:rPr>
        <w:t xml:space="preserve">high-dimensional</w:t>
      </w:r>
      <w:r>
        <w:t xml:space="preserve"> </w:t>
      </w:r>
      <w:r>
        <w:t xml:space="preserve">datasets, where distance concentration degrades raw-distance weights—Olivetti (</w:t>
      </w:r>
      <m:oMath>
        <m:r>
          <m:t>d</m:t>
        </m:r>
        <m:r>
          <m:rPr>
            <m:sty m:val="p"/>
          </m:rPr>
          <m:t>=</m:t>
        </m:r>
        <m:r>
          <m:t>4096</m:t>
        </m:r>
      </m:oMath>
      <w:r>
        <w:t xml:space="preserve">,</w:t>
      </w:r>
      <w:r>
        <w:t xml:space="preserve"> </w:t>
      </w:r>
      <m:oMath>
        <m:r>
          <m:rPr>
            <m:sty m:val="p"/>
          </m:rPr>
          <m:t>+</m:t>
        </m:r>
        <m:r>
          <m:t>0.027</m:t>
        </m:r>
      </m:oMath>
      <w:r>
        <w:t xml:space="preserve">), CNAE-9 (</w:t>
      </w:r>
      <m:oMath>
        <m:r>
          <m:t>d</m:t>
        </m:r>
        <m:r>
          <m:rPr>
            <m:sty m:val="p"/>
          </m:rPr>
          <m:t>=</m:t>
        </m:r>
        <m:r>
          <m:t>856</m:t>
        </m:r>
      </m:oMath>
      <w:r>
        <w:t xml:space="preserve">,</w:t>
      </w:r>
      <w:r>
        <w:t xml:space="preserve"> </w:t>
      </w:r>
      <m:oMath>
        <m:r>
          <m:rPr>
            <m:sty m:val="p"/>
          </m:rPr>
          <m:t>+</m:t>
        </m:r>
        <m:r>
          <m:t>0.028</m:t>
        </m:r>
      </m:oMath>
      <w:r>
        <w:t xml:space="preserve">), and COIL-20 (</w:t>
      </w:r>
      <m:oMath>
        <m:r>
          <m:t>d</m:t>
        </m:r>
        <m:r>
          <m:rPr>
            <m:sty m:val="p"/>
          </m:rPr>
          <m:t>=</m:t>
        </m:r>
        <m:r>
          <m:t>1024</m:t>
        </m:r>
      </m:oMath>
      <w:r>
        <w:t xml:space="preserve">,</w:t>
      </w:r>
      <w:r>
        <w:t xml:space="preserve"> </w:t>
      </w:r>
      <m:oMath>
        <m:r>
          <m:rPr>
            <m:sty m:val="p"/>
          </m:rPr>
          <m:t>+</m:t>
        </m:r>
        <m:r>
          <m:t>0.038</m:t>
        </m:r>
      </m:oMath>
      <w:r>
        <w:t xml:space="preserve">)—while it costs accuracy on lower-dimensional inputs (USPS</w:t>
      </w:r>
      <w:r>
        <w:t xml:space="preserve"> </w:t>
      </w:r>
      <m:oMath>
        <m:r>
          <m:rPr>
            <m:sty m:val="p"/>
          </m:rPr>
          <m:t>−</m:t>
        </m:r>
        <m:r>
          <m:t>0.076</m:t>
        </m:r>
      </m:oMath>
      <w:r>
        <w:t xml:space="preserve">, PenDigits</w:t>
      </w:r>
      <w:r>
        <w:t xml:space="preserve"> </w:t>
      </w:r>
      <m:oMath>
        <m:r>
          <m:rPr>
            <m:sty m:val="p"/>
          </m:rPr>
          <m:t>−</m:t>
        </m:r>
        <m:r>
          <m:t>0.058</m:t>
        </m:r>
      </m:oMath>
      <w:r>
        <w:t xml:space="preserve">). SNN is therefore a targeted tool for high-dimensional regimes, not a blanket improvement, and EMR-CGC’s overall gain comes primarily from</w:t>
      </w:r>
      <w:r>
        <w:t xml:space="preserve"> </w:t>
      </w:r>
      <w:r>
        <w:rPr>
          <w:i/>
          <w:iCs/>
        </w:rPr>
        <w:t xml:space="preserve">ensemble diversity</w:t>
      </w:r>
      <w:r>
        <w:t xml:space="preserve"> </w:t>
      </w:r>
      <w:r>
        <w:t xml:space="preserve">(five representations</w:t>
      </w:r>
      <w:r>
        <w:t xml:space="preserve"> </w:t>
      </w:r>
      <m:oMath>
        <m:r>
          <m:rPr>
            <m:sty m:val="p"/>
          </m:rPr>
          <m:t>×</m:t>
        </m:r>
      </m:oMath>
      <w:r>
        <w:t xml:space="preserve"> </w:t>
      </w:r>
      <w:r>
        <w:t xml:space="preserve">twelve configurations with best-run selection) rather than from the SNN weighting alone. Neither choice removes every limitation, which we list next.</w:t>
      </w:r>
    </w:p>
    <w:bookmarkEnd w:id="144"/>
    <w:bookmarkStart w:id="146" w:name="robustness"/>
    <w:p>
      <w:pPr>
        <w:pStyle w:val="Heading2"/>
        <w:jc w:val="left"/>
      </w:pPr>
      <w:r>
        <w:rPr>
          <w:rFonts w:ascii="Times New Roman" w:hAnsi="Times New Roman" w:cs="Times New Roman"/>
          <w:b/>
          <w:color w:val="C00000"/>
          <w:sz w:val="22"/>
        </w:rPr>
        <w:t>Robustness</w:t>
      </w:r>
    </w:p>
    <w:p>
      <w:pPr>
        <w:pStyle w:val="FirstParagraph"/>
        <w:spacing w:before="0" w:after="0" w:line="240" w:lineRule="auto"/>
        <w:ind w:firstLine="330"/>
        <w:jc w:val="both"/>
      </w:pPr>
      <w:r>
        <w:rPr>
          <w:color w:val="C00000"/>
        </w:rPr>
        <w:t xml:space="preserve">To probe where the method holds and breaks, we stress it on controlled synthetic data (</w:t>
      </w:r>
      <w:r>
        <w:rPr>
          <w:rStyle w:val="VerbatimChar"/>
          <w:color w:val="C00000"/>
        </w:rPr>
        <w:t xml:space="preserve">make_classification</w:t>
      </w:r>
      <w:r>
        <w:rPr>
          <w:color w:val="C00000"/>
        </w:rPr>
        <w:t xml:space="preserve">, ground truth known) along four axes (Table </w:t>
      </w:r>
      <w:hyperlink w:anchor="tab:robustness">
        <w:r>
          <w:rPr>
            <w:rStyle w:val="Hyperlink"/>
          </w:rPr>
          <w:t xml:space="preserve">19</w:t>
        </w:r>
      </w:hyperlink>
      <w:r>
        <w:rPr>
          <w:color w:val="C00000"/>
        </w:rPr>
        <w:t xml:space="preserve">). The gate is</w:t>
      </w:r>
      <w:r>
        <w:rPr>
          <w:color w:val="C00000"/>
        </w:rPr>
        <w:t xml:space="preserve"> </w:t>
      </w:r>
      <w:r>
        <w:rPr>
          <w:i/>
          <w:iCs/>
          <w:color w:val="C00000"/>
        </w:rPr>
        <w:t xml:space="preserve">robust to class imbalance</w:t>
      </w:r>
      <w:r>
        <w:rPr>
          <w:color w:val="C00000"/>
        </w:rPr>
        <w:t xml:space="preserve"> </w:t>
      </w:r>
      <w:r>
        <w:rPr>
          <w:color w:val="C00000"/>
        </w:rPr>
        <w:t xml:space="preserve">(mean ARI</w:t>
      </w:r>
      <w:r>
        <w:rPr>
          <w:color w:val="C00000"/>
        </w:rPr>
        <w:t xml:space="preserve"> </w:t>
      </w:r>
      <m:oMath>
        <m:r>
          <m:t>0.49</m:t>
        </m:r>
      </m:oMath>
      <w:r>
        <w:rPr>
          <w:color w:val="C00000"/>
        </w:rPr>
        <w:t xml:space="preserve">–</w:t>
      </w:r>
      <m:oMath>
        <m:r>
          <m:t>0.60</m:t>
        </m:r>
      </m:oMath>
      <w:r>
        <w:rPr>
          <w:color w:val="C00000"/>
        </w:rPr>
        <w:t xml:space="preserve"> </w:t>
      </w:r>
      <w:r>
        <w:rPr>
          <w:color w:val="C00000"/>
        </w:rPr>
        <w:t xml:space="preserve">from balanced up to a</w:t>
      </w:r>
      <w:r>
        <w:rPr>
          <w:color w:val="C00000"/>
        </w:rPr>
        <w:t xml:space="preserve"> </w:t>
      </w:r>
      <m:oMath>
        <m:r>
          <m:t>30</m:t>
        </m:r>
        <m:r>
          <m:rPr>
            <m:sty m:val="p"/>
          </m:rPr>
          <m:t>×</m:t>
        </m:r>
      </m:oMath>
      <w:r>
        <w:rPr>
          <w:color w:val="C00000"/>
        </w:rPr>
        <w:t xml:space="preserve"> </w:t>
      </w:r>
      <w:r>
        <w:rPr>
          <w:color w:val="C00000"/>
        </w:rPr>
        <w:t xml:space="preserve">ratio) and</w:t>
      </w:r>
      <w:r>
        <w:rPr>
          <w:color w:val="C00000"/>
        </w:rPr>
        <w:t xml:space="preserve"> </w:t>
      </w:r>
      <w:r>
        <w:rPr>
          <w:i/>
          <w:iCs/>
          <w:color w:val="C00000"/>
        </w:rPr>
        <w:t xml:space="preserve">improves with larger</w:t>
      </w:r>
      <w:r>
        <w:rPr>
          <w:i/>
          <w:iCs/>
          <w:color w:val="C00000"/>
        </w:rPr>
        <w:t xml:space="preserve"> </w:t>
      </w:r>
      <m:oMath>
        <m:r>
          <m:t>n</m:t>
        </m:r>
      </m:oMath>
      <w:r>
        <w:rPr>
          <w:color w:val="C00000"/>
        </w:rPr>
        <w:t xml:space="preserve"> </w:t>
      </w:r>
      <w:r>
        <w:rPr>
          <w:color w:val="C00000"/>
        </w:rPr>
        <w:t xml:space="preserve">(</w:t>
      </w:r>
      <m:oMath>
        <m:r>
          <m:t>0.32</m:t>
        </m:r>
      </m:oMath>
      <w:r>
        <w:rPr>
          <w:color w:val="C00000"/>
        </w:rPr>
        <w:t xml:space="preserve"> </w:t>
      </w:r>
      <w:r>
        <w:rPr>
          <w:color w:val="C00000"/>
        </w:rPr>
        <w:t xml:space="preserve">at</w:t>
      </w:r>
      <w:r>
        <w:rPr>
          <w:color w:val="C00000"/>
        </w:rPr>
        <w:t xml:space="preserve"> </w:t>
      </w:r>
      <m:oMath>
        <m:r>
          <m:t>n</m:t>
        </m:r>
        <m:r>
          <m:rPr>
            <m:sty m:val="p"/>
          </m:rPr>
          <m:t>=</m:t>
        </m:r>
        <m:r>
          <m:t>1000</m:t>
        </m:r>
      </m:oMath>
      <w:r>
        <w:rPr>
          <w:color w:val="C00000"/>
        </w:rPr>
        <w:t xml:space="preserve"> </w:t>
      </w:r>
      <w:r>
        <w:rPr>
          <w:color w:val="C00000"/>
        </w:rPr>
        <w:t xml:space="preserve">to</w:t>
      </w:r>
      <w:r>
        <w:rPr>
          <w:color w:val="C00000"/>
        </w:rPr>
        <w:t xml:space="preserve"> </w:t>
      </w:r>
      <m:oMath>
        <m:r>
          <m:t>0.79</m:t>
        </m:r>
      </m:oMath>
      <w:r>
        <w:rPr>
          <w:color w:val="C00000"/>
        </w:rPr>
        <w:t xml:space="preserve"> </w:t>
      </w:r>
      <w:r>
        <w:rPr>
          <w:color w:val="C00000"/>
        </w:rPr>
        <w:t xml:space="preserve">at</w:t>
      </w:r>
      <w:r>
        <w:rPr>
          <w:color w:val="C00000"/>
        </w:rPr>
        <w:t xml:space="preserve"> </w:t>
      </w:r>
      <m:oMath>
        <m:r>
          <m:t>n</m:t>
        </m:r>
        <m:r>
          <m:rPr>
            <m:sty m:val="p"/>
          </m:rPr>
          <m:t>=</m:t>
        </m:r>
        <m:r>
          <m:t>10000</m:t>
        </m:r>
      </m:oMath>
      <w:r>
        <w:rPr>
          <w:color w:val="C00000"/>
        </w:rPr>
        <w:t xml:space="preserve">) and with cluster separation (up to</w:t>
      </w:r>
      <w:r>
        <w:rPr>
          <w:color w:val="C00000"/>
        </w:rPr>
        <w:t xml:space="preserve"> </w:t>
      </w:r>
      <m:oMath>
        <m:r>
          <m:t>0.97</m:t>
        </m:r>
      </m:oMath>
      <w:r>
        <w:rPr>
          <w:color w:val="C00000"/>
        </w:rPr>
        <w:t xml:space="preserve">). Its clear failure mode is</w:t>
      </w:r>
      <w:r>
        <w:rPr>
          <w:color w:val="C00000"/>
        </w:rPr>
        <w:t xml:space="preserve"> </w:t>
      </w:r>
      <w:r>
        <w:rPr>
          <w:i/>
          <w:iCs/>
          <w:color w:val="C00000"/>
        </w:rPr>
        <w:t xml:space="preserve">irrelevant dimensions</w:t>
      </w:r>
      <w:r>
        <w:rPr>
          <w:color w:val="C00000"/>
        </w:rPr>
        <w:t xml:space="preserve">: adding noise features to the</w:t>
      </w:r>
      <w:r>
        <w:rPr>
          <w:color w:val="C00000"/>
        </w:rPr>
        <w:t xml:space="preserve"> </w:t>
      </w:r>
      <m:oMath>
        <m:r>
          <m:t>20</m:t>
        </m:r>
      </m:oMath>
      <w:r>
        <w:rPr>
          <w:color w:val="C00000"/>
        </w:rPr>
        <w:t xml:space="preserve"> </w:t>
      </w:r>
      <w:r>
        <w:rPr>
          <w:color w:val="C00000"/>
        </w:rPr>
        <w:t xml:space="preserve">informative ones collapses ARI from</w:t>
      </w:r>
      <w:r>
        <w:rPr>
          <w:color w:val="C00000"/>
        </w:rPr>
        <w:t xml:space="preserve"> </w:t>
      </w:r>
      <m:oMath>
        <m:r>
          <m:t>0.52</m:t>
        </m:r>
      </m:oMath>
      <w:r>
        <w:rPr>
          <w:color w:val="C00000"/>
        </w:rPr>
        <w:t xml:space="preserve"> </w:t>
      </w:r>
      <w:r>
        <w:rPr>
          <w:color w:val="C00000"/>
        </w:rPr>
        <w:t xml:space="preserve">to near zero—and it is</w:t>
      </w:r>
      <w:r>
        <w:rPr>
          <w:color w:val="C00000"/>
        </w:rPr>
        <w:t xml:space="preserve"> </w:t>
      </w:r>
      <w:r>
        <w:rPr>
          <w:i/>
          <w:iCs/>
          <w:color w:val="C00000"/>
        </w:rPr>
        <w:t xml:space="preserve">every</w:t>
      </w:r>
      <w:r>
        <w:rPr>
          <w:color w:val="C00000"/>
        </w:rPr>
        <w:t xml:space="preserve"> </w:t>
      </w:r>
      <w:r>
        <w:rPr>
          <w:color w:val="C00000"/>
        </w:rPr>
        <w:t xml:space="preserve">engine that fails, not just the gate, because the UMAP graph is built on a distance that uninformative features dominate. DEAC therefore carries a scope condition: it assumes the informative signal is not swamped by irrelevant features.</w:t>
      </w:r>
    </w:p>
    <w:bookmarkStart w:id="145" w:name="tab:robustness"/>
    <w:p>
      <w:pPr>
        <w:pStyle w:val="TableCaption"/>
        <w:jc w:val="center"/>
      </w:pPr>
      <w:r>
        <w:rPr>
          <w:rFonts w:ascii="Times New Roman" w:hAnsi="Times New Roman" w:cs="Times New Roman"/>
          <w:color w:val="000000"/>
          <w:sz w:val="20"/>
        </w:rPr>
        <w:t xml:space="preserve">Table 19. </w:t>
      </w:r>
      <w:r>
        <w:rPr>
          <w:rFonts w:ascii="Times New Roman" w:hAnsi="Times New Roman" w:cs="Times New Roman"/>
          <w:color w:val="000000"/>
          <w:sz w:val="20"/>
        </w:rPr>
        <w:t xml:space="preserve">Robustness of the deployable gate on controlled synthetic data (mean ARI over 3 seeds;</w:t>
      </w:r>
      <w:r>
        <w:rPr>
          <w:rFonts w:ascii="Times New Roman" w:hAnsi="Times New Roman" w:cs="Times New Roman"/>
          <w:color w:val="000000"/>
          <w:sz w:val="20"/>
        </w:rPr>
        <w:t xml:space="preserve"> </w:t>
      </w:r>
      <w:r>
        <w:rPr>
          <w:rFonts w:ascii="Times New Roman" w:hAnsi="Times New Roman" w:cs="Times New Roman"/>
          <w:color w:val="000000"/>
          <w:sz w:val="20"/>
        </w:rPr>
        <w:t xml:space="preserve">‘base’</w:t>
      </w:r>
      <w:r>
        <w:rPr>
          <w:rFonts w:ascii="Times New Roman" w:hAnsi="Times New Roman" w:cs="Times New Roman"/>
          <w:color w:val="000000"/>
          <w:sz w:val="20"/>
        </w:rPr>
        <w:t xml:space="preserve"> </w:t>
      </w:r>
      <w:r>
        <w:rPr>
          <w:rFonts w:ascii="Times New Roman" w:hAnsi="Times New Roman" w:cs="Times New Roman"/>
          <w:color w:val="000000"/>
          <w:sz w:val="20"/>
        </w:rPr>
        <w:t xml:space="preserve">is</w:t>
      </w:r>
      <w:r>
        <w:rPr>
          <w:rFonts w:ascii="Times New Roman" w:hAnsi="Times New Roman" w:cs="Times New Roman"/>
          <w:color w:val="000000"/>
          <w:sz w:val="20"/>
        </w:rPr>
        <w:t xml:space="preserve"> </w:t>
      </w:r>
      <m:oMath>
        <m:r>
          <m:t>n</m:t>
        </m:r>
        <m:r>
          <m:rPr>
            <m:sty m:val="p"/>
          </m:rPr>
          <m:t>=</m:t>
        </m:r>
        <m:r>
          <m:t>2000</m:t>
        </m:r>
      </m:oMath>
      <w:r>
        <w:rPr>
          <w:rFonts w:ascii="Times New Roman" w:hAnsi="Times New Roman" w:cs="Times New Roman"/>
          <w:color w:val="000000"/>
          <w:sz w:val="20"/>
        </w:rPr>
        <w:t xml:space="preserve">,</w:t>
      </w:r>
      <w:r>
        <w:rPr>
          <w:rFonts w:ascii="Times New Roman" w:hAnsi="Times New Roman" w:cs="Times New Roman"/>
          <w:color w:val="000000"/>
          <w:sz w:val="20"/>
        </w:rPr>
        <w:t xml:space="preserve"> </w:t>
      </w:r>
      <m:oMath>
        <m:r>
          <m:t>d</m:t>
        </m:r>
        <m:r>
          <m:rPr>
            <m:sty m:val="p"/>
          </m:rPr>
          <m:t>=</m:t>
        </m:r>
        <m:r>
          <m:t>20</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all-informative,</w:t>
      </w:r>
      <w:r>
        <w:rPr>
          <w:rFonts w:ascii="Times New Roman" w:hAnsi="Times New Roman" w:cs="Times New Roman"/>
          <w:color w:val="000000"/>
          <w:sz w:val="20"/>
        </w:rPr>
        <w:t xml:space="preserve"> </w:t>
      </w:r>
      <m:oMath>
        <m:r>
          <m:t>C</m:t>
        </m:r>
        <m:r>
          <m:rPr>
            <m:sty m:val="p"/>
          </m:rPr>
          <m:t>=</m:t>
        </m:r>
        <m:r>
          <m:t>10</m:t>
        </m:r>
      </m:oMath>
      <w:r>
        <w:rPr>
          <w:rFonts w:ascii="Times New Roman" w:hAnsi="Times New Roman" w:cs="Times New Roman"/>
          <w:color w:val="000000"/>
          <w:sz w:val="20"/>
        </w:rPr>
        <w:t xml:space="preserve">, balanced, class-sep 1.0). The gate is robust to class imbalance, improves with cluster separation and with larger</w:t>
      </w:r>
      <w:r>
        <w:rPr>
          <w:rFonts w:ascii="Times New Roman" w:hAnsi="Times New Roman" w:cs="Times New Roman"/>
          <w:color w:val="000000"/>
          <w:sz w:val="20"/>
        </w:rPr>
        <w:t xml:space="preserve"> </w:t>
      </w:r>
      <m:oMath>
        <m:r>
          <m:t>n</m:t>
        </m:r>
      </m:oMath>
      <w:r>
        <w:rPr>
          <w:rFonts w:ascii="Times New Roman" w:hAnsi="Times New Roman" w:cs="Times New Roman"/>
          <w:color w:val="000000"/>
          <w:sz w:val="20"/>
        </w:rPr>
        <w:t xml:space="preserve">, but degrades sharply under many irrelevant dimensions—a limitation noted in §</w:t>
      </w:r>
      <w:hyperlink w:anchor="sec:disc">
        <w:r>
          <w:rPr>
            <w:rStyle w:val="Hyperlink"/>
          </w:rPr>
          <w:t xml:space="preserve">5</w:t>
        </w:r>
      </w:hyperlink>
      <w:r>
        <w:rPr>
          <w:rFonts w:ascii="Times New Roman" w:hAnsi="Times New Roman" w:cs="Times New Roman"/>
          <w:color w:val="000000"/>
          <w:sz w:val="20"/>
        </w:rPr>
        <w:t xml:space="preserve">.</w:t>
      </w:r>
    </w:p>
    <w:tbl>
      <w:tblPr>
        <w:tblStyle w:val="Table"/>
        <w:tblW w:type="dxa" w:w="4596"/>
        <w:tblLook w:firstRow="1" w:lastRow="0" w:firstColumn="0" w:lastColumn="0" w:noHBand="0" w:noVBand="0" w:val="0020"/>
        <w:tblCaption w:val="Robustness of the deployable gate on controlled synthetic data (mean ARI over 3 seeds; ‘base’ is n{=}2000, d{=}20 all-informative, C{=}10, balanced, class-sep 1.0). The gate is robust to class imbalance, improves with cluster separation and with larger n, but degrades sharply under many irrelevant dimensions—a limitation noted in §5."/>
        <w:tblLayout w:type="fixed"/>
      </w:tblPr>
      <w:tblGrid>
        <w:gridCol w:w="1149"/>
        <w:gridCol w:w="1149"/>
        <w:gridCol w:w="1149"/>
        <w:gridCol w:w="1149"/>
      </w:tblGrid>
      <w:tr>
        <w:trPr>
          <w:tblHeader w:val="on"/>
        </w:trPr>
        <w:tc>
          <w:tcPr>
            <w:tcW w:type="dxa" w:w="1149"/>
          </w:tcPr>
          <w:p>
            <w:pPr>
              <w:pStyle w:val="Compact"/>
              <w:jc w:val="left"/>
            </w:pPr>
            <w:r>
              <w:t xml:space="preserve">Stress axis</w:t>
            </w:r>
          </w:p>
        </w:tc>
        <w:tc>
          <w:tcPr>
            <w:tcW w:type="dxa" w:w="1149"/>
          </w:tcPr>
          <w:p>
            <w:pPr>
              <w:pStyle w:val="Compact"/>
              <w:jc w:val="left"/>
            </w:pPr>
            <w:r>
              <w:t xml:space="preserve">Level</w:t>
            </w:r>
          </w:p>
        </w:tc>
        <w:tc>
          <w:tcPr>
            <w:tcW w:type="dxa" w:w="1149"/>
          </w:tcPr>
          <w:p>
            <w:pPr>
              <w:pStyle w:val="Compact"/>
              <w:jc w:val="center"/>
            </w:pPr>
            <w:r>
              <w:t xml:space="preserve">Gate ARI</w:t>
            </w:r>
          </w:p>
        </w:tc>
        <w:tc>
          <w:tcPr>
            <w:tcW w:type="dxa" w:w="1149"/>
          </w:tcPr>
          <w:p>
            <w:pPr>
              <w:pStyle w:val="Compact"/>
              <w:jc w:val="center"/>
            </w:pPr>
            <w:r>
              <w:t xml:space="preserve">Baseline ARI</w:t>
            </w:r>
          </w:p>
        </w:tc>
      </w:tr>
      <w:tr>
        <w:tc>
          <w:tcPr>
            <w:tcW w:type="dxa" w:w="1149"/>
          </w:tcPr>
          <w:p>
            <w:pPr>
              <w:pStyle w:val="Compact"/>
              <w:jc w:val="left"/>
            </w:pPr>
            <w:r>
              <w:t xml:space="preserve">Imbalance</w:t>
            </w:r>
          </w:p>
        </w:tc>
        <w:tc>
          <w:tcPr>
            <w:tcW w:type="dxa" w:w="1149"/>
          </w:tcPr>
          <w:p>
            <w:pPr>
              <w:pStyle w:val="Compact"/>
              <w:jc w:val="left"/>
            </w:pPr>
            <w:r>
              <w:t xml:space="preserve">base</w:t>
            </w:r>
          </w:p>
        </w:tc>
        <w:tc>
          <w:tcPr>
            <w:tcW w:type="dxa" w:w="1149"/>
          </w:tcPr>
          <w:p>
            <w:pPr>
              <w:pStyle w:val="Compact"/>
              <w:jc w:val="center"/>
            </w:pPr>
            <w:r>
              <w:t xml:space="preserve">0.515</w:t>
            </w:r>
          </w:p>
        </w:tc>
        <w:tc>
          <w:tcPr>
            <w:tcW w:type="dxa" w:w="1149"/>
          </w:tcPr>
          <w:p>
            <w:pPr>
              <w:pStyle w:val="Compact"/>
              <w:jc w:val="center"/>
            </w:pPr>
            <w:r>
              <w:t xml:space="preserve">0.413</w:t>
            </w:r>
          </w:p>
        </w:tc>
      </w:tr>
      <w:tr>
        <w:tc>
          <w:tcPr>
            <w:tcW w:type="dxa" w:w="1149"/>
          </w:tcPr>
          <w:p>
            <w:pPr>
              <w:pStyle w:val="Compact"/>
            </w:pPr>
          </w:p>
        </w:tc>
        <w:tc>
          <w:tcPr>
            <w:tcW w:type="dxa" w:w="1149"/>
          </w:tcPr>
          <w:p>
            <w:pPr>
              <w:pStyle w:val="Compact"/>
              <w:jc w:val="left"/>
            </w:pPr>
            <w:r>
              <w:t xml:space="preserve">3</w:t>
            </w:r>
            <m:oMath>
              <m:r>
                <m:rPr>
                  <m:sty m:val="p"/>
                </m:rPr>
                <m:t>×</m:t>
              </m:r>
            </m:oMath>
          </w:p>
        </w:tc>
        <w:tc>
          <w:tcPr>
            <w:tcW w:type="dxa" w:w="1149"/>
          </w:tcPr>
          <w:p>
            <w:pPr>
              <w:pStyle w:val="Compact"/>
              <w:jc w:val="center"/>
            </w:pPr>
            <w:r>
              <w:t xml:space="preserve">0.487</w:t>
            </w:r>
          </w:p>
        </w:tc>
        <w:tc>
          <w:tcPr>
            <w:tcW w:type="dxa" w:w="1149"/>
          </w:tcPr>
          <w:p>
            <w:pPr>
              <w:pStyle w:val="Compact"/>
              <w:jc w:val="center"/>
            </w:pPr>
            <w:r>
              <w:t xml:space="preserve">0.450</w:t>
            </w:r>
          </w:p>
        </w:tc>
      </w:tr>
      <w:tr>
        <w:tc>
          <w:tcPr>
            <w:tcW w:type="dxa" w:w="1149"/>
          </w:tcPr>
          <w:p>
            <w:pPr>
              <w:pStyle w:val="Compact"/>
            </w:pPr>
          </w:p>
        </w:tc>
        <w:tc>
          <w:tcPr>
            <w:tcW w:type="dxa" w:w="1149"/>
          </w:tcPr>
          <w:p>
            <w:pPr>
              <w:pStyle w:val="Compact"/>
              <w:jc w:val="left"/>
            </w:pPr>
            <w:r>
              <w:t xml:space="preserve">10</w:t>
            </w:r>
            <m:oMath>
              <m:r>
                <m:rPr>
                  <m:sty m:val="p"/>
                </m:rPr>
                <m:t>×</m:t>
              </m:r>
            </m:oMath>
          </w:p>
        </w:tc>
        <w:tc>
          <w:tcPr>
            <w:tcW w:type="dxa" w:w="1149"/>
          </w:tcPr>
          <w:p>
            <w:pPr>
              <w:pStyle w:val="Compact"/>
              <w:jc w:val="center"/>
            </w:pPr>
            <w:r>
              <w:t xml:space="preserve">0.605</w:t>
            </w:r>
          </w:p>
        </w:tc>
        <w:tc>
          <w:tcPr>
            <w:tcW w:type="dxa" w:w="1149"/>
          </w:tcPr>
          <w:p>
            <w:pPr>
              <w:pStyle w:val="Compact"/>
              <w:jc w:val="center"/>
            </w:pPr>
            <w:r>
              <w:t xml:space="preserve">0.605</w:t>
            </w:r>
          </w:p>
        </w:tc>
      </w:tr>
      <w:tr>
        <w:tc>
          <w:tcPr>
            <w:tcW w:type="dxa" w:w="1149"/>
          </w:tcPr>
          <w:p>
            <w:pPr>
              <w:pStyle w:val="Compact"/>
            </w:pPr>
          </w:p>
        </w:tc>
        <w:tc>
          <w:tcPr>
            <w:tcW w:type="dxa" w:w="1149"/>
          </w:tcPr>
          <w:p>
            <w:pPr>
              <w:pStyle w:val="Compact"/>
              <w:jc w:val="left"/>
            </w:pPr>
            <w:r>
              <w:t xml:space="preserve">30</w:t>
            </w:r>
            <m:oMath>
              <m:r>
                <m:rPr>
                  <m:sty m:val="p"/>
                </m:rPr>
                <m:t>×</m:t>
              </m:r>
            </m:oMath>
          </w:p>
        </w:tc>
        <w:tc>
          <w:tcPr>
            <w:tcW w:type="dxa" w:w="1149"/>
          </w:tcPr>
          <w:p>
            <w:pPr>
              <w:pStyle w:val="Compact"/>
              <w:jc w:val="center"/>
            </w:pPr>
            <w:r>
              <w:t xml:space="preserve">0.599</w:t>
            </w:r>
          </w:p>
        </w:tc>
        <w:tc>
          <w:tcPr>
            <w:tcW w:type="dxa" w:w="1149"/>
          </w:tcPr>
          <w:p>
            <w:pPr>
              <w:pStyle w:val="Compact"/>
              <w:jc w:val="center"/>
            </w:pPr>
            <w:r>
              <w:t xml:space="preserve">0.631</w:t>
            </w:r>
          </w:p>
        </w:tc>
      </w:tr>
      <w:tr>
        <w:tc>
          <w:tcPr>
            <w:tcW w:type="dxa" w:w="1149"/>
          </w:tcPr>
          <w:p>
            <w:pPr>
              <w:pStyle w:val="Compact"/>
              <w:jc w:val="left"/>
            </w:pPr>
            <w:r>
              <w:t xml:space="preserve">Separation</w:t>
            </w:r>
          </w:p>
        </w:tc>
        <w:tc>
          <w:tcPr>
            <w:tcW w:type="dxa" w:w="1149"/>
          </w:tcPr>
          <w:p>
            <w:pPr>
              <w:pStyle w:val="Compact"/>
              <w:jc w:val="left"/>
            </w:pPr>
            <w:r>
              <w:t xml:space="preserve">0.5</w:t>
            </w:r>
          </w:p>
        </w:tc>
        <w:tc>
          <w:tcPr>
            <w:tcW w:type="dxa" w:w="1149"/>
          </w:tcPr>
          <w:p>
            <w:pPr>
              <w:pStyle w:val="Compact"/>
              <w:jc w:val="center"/>
            </w:pPr>
            <w:r>
              <w:t xml:space="preserve">0.059</w:t>
            </w:r>
          </w:p>
        </w:tc>
        <w:tc>
          <w:tcPr>
            <w:tcW w:type="dxa" w:w="1149"/>
          </w:tcPr>
          <w:p>
            <w:pPr>
              <w:pStyle w:val="Compact"/>
              <w:jc w:val="center"/>
            </w:pPr>
            <w:r>
              <w:t xml:space="preserve">0.059</w:t>
            </w:r>
          </w:p>
        </w:tc>
      </w:tr>
      <w:tr>
        <w:tc>
          <w:tcPr>
            <w:tcW w:type="dxa" w:w="1149"/>
          </w:tcPr>
          <w:p>
            <w:pPr>
              <w:pStyle w:val="Compact"/>
            </w:pPr>
          </w:p>
        </w:tc>
        <w:tc>
          <w:tcPr>
            <w:tcW w:type="dxa" w:w="1149"/>
          </w:tcPr>
          <w:p>
            <w:pPr>
              <w:pStyle w:val="Compact"/>
              <w:jc w:val="left"/>
            </w:pPr>
            <w:r>
              <w:t xml:space="preserve">0.75</w:t>
            </w:r>
          </w:p>
        </w:tc>
        <w:tc>
          <w:tcPr>
            <w:tcW w:type="dxa" w:w="1149"/>
          </w:tcPr>
          <w:p>
            <w:pPr>
              <w:pStyle w:val="Compact"/>
              <w:jc w:val="center"/>
            </w:pPr>
            <w:r>
              <w:t xml:space="preserve">0.222</w:t>
            </w:r>
          </w:p>
        </w:tc>
        <w:tc>
          <w:tcPr>
            <w:tcW w:type="dxa" w:w="1149"/>
          </w:tcPr>
          <w:p>
            <w:pPr>
              <w:pStyle w:val="Compact"/>
              <w:jc w:val="center"/>
            </w:pPr>
            <w:r>
              <w:t xml:space="preserve">0.178</w:t>
            </w:r>
          </w:p>
        </w:tc>
      </w:tr>
      <w:tr>
        <w:tc>
          <w:tcPr>
            <w:tcW w:type="dxa" w:w="1149"/>
          </w:tcPr>
          <w:p>
            <w:pPr>
              <w:pStyle w:val="Compact"/>
            </w:pPr>
          </w:p>
        </w:tc>
        <w:tc>
          <w:tcPr>
            <w:tcW w:type="dxa" w:w="1149"/>
          </w:tcPr>
          <w:p>
            <w:pPr>
              <w:pStyle w:val="Compact"/>
              <w:jc w:val="left"/>
            </w:pPr>
            <w:r>
              <w:t xml:space="preserve">base</w:t>
            </w:r>
          </w:p>
        </w:tc>
        <w:tc>
          <w:tcPr>
            <w:tcW w:type="dxa" w:w="1149"/>
          </w:tcPr>
          <w:p>
            <w:pPr>
              <w:pStyle w:val="Compact"/>
              <w:jc w:val="center"/>
            </w:pPr>
            <w:r>
              <w:t xml:space="preserve">0.515</w:t>
            </w:r>
          </w:p>
        </w:tc>
        <w:tc>
          <w:tcPr>
            <w:tcW w:type="dxa" w:w="1149"/>
          </w:tcPr>
          <w:p>
            <w:pPr>
              <w:pStyle w:val="Compact"/>
              <w:jc w:val="center"/>
            </w:pPr>
            <w:r>
              <w:t xml:space="preserve">0.413</w:t>
            </w:r>
          </w:p>
        </w:tc>
      </w:tr>
      <w:tr>
        <w:tc>
          <w:tcPr>
            <w:tcW w:type="dxa" w:w="1149"/>
          </w:tcPr>
          <w:p>
            <w:pPr>
              <w:pStyle w:val="Compact"/>
            </w:pPr>
          </w:p>
        </w:tc>
        <w:tc>
          <w:tcPr>
            <w:tcW w:type="dxa" w:w="1149"/>
          </w:tcPr>
          <w:p>
            <w:pPr>
              <w:pStyle w:val="Compact"/>
              <w:jc w:val="left"/>
            </w:pPr>
            <w:r>
              <w:t xml:space="preserve">1.5</w:t>
            </w:r>
          </w:p>
        </w:tc>
        <w:tc>
          <w:tcPr>
            <w:tcW w:type="dxa" w:w="1149"/>
          </w:tcPr>
          <w:p>
            <w:pPr>
              <w:pStyle w:val="Compact"/>
              <w:jc w:val="center"/>
            </w:pPr>
            <w:r>
              <w:t xml:space="preserve">0.849</w:t>
            </w:r>
          </w:p>
        </w:tc>
        <w:tc>
          <w:tcPr>
            <w:tcW w:type="dxa" w:w="1149"/>
          </w:tcPr>
          <w:p>
            <w:pPr>
              <w:pStyle w:val="Compact"/>
              <w:jc w:val="center"/>
            </w:pPr>
            <w:r>
              <w:t xml:space="preserve">0.830</w:t>
            </w:r>
          </w:p>
        </w:tc>
      </w:tr>
      <w:tr>
        <w:tc>
          <w:tcPr>
            <w:tcW w:type="dxa" w:w="1149"/>
          </w:tcPr>
          <w:p>
            <w:pPr>
              <w:pStyle w:val="Compact"/>
            </w:pPr>
          </w:p>
        </w:tc>
        <w:tc>
          <w:tcPr>
            <w:tcW w:type="dxa" w:w="1149"/>
          </w:tcPr>
          <w:p>
            <w:pPr>
              <w:pStyle w:val="Compact"/>
              <w:jc w:val="left"/>
            </w:pPr>
            <w:r>
              <w:t xml:space="preserve">2.0</w:t>
            </w:r>
          </w:p>
        </w:tc>
        <w:tc>
          <w:tcPr>
            <w:tcW w:type="dxa" w:w="1149"/>
          </w:tcPr>
          <w:p>
            <w:pPr>
              <w:pStyle w:val="Compact"/>
              <w:jc w:val="center"/>
            </w:pPr>
            <w:r>
              <w:t xml:space="preserve">0.966</w:t>
            </w:r>
          </w:p>
        </w:tc>
        <w:tc>
          <w:tcPr>
            <w:tcW w:type="dxa" w:w="1149"/>
          </w:tcPr>
          <w:p>
            <w:pPr>
              <w:pStyle w:val="Compact"/>
              <w:jc w:val="center"/>
            </w:pPr>
            <w:r>
              <w:t xml:space="preserve">0.966</w:t>
            </w:r>
          </w:p>
        </w:tc>
      </w:tr>
      <w:tr>
        <w:tc>
          <w:tcPr>
            <w:tcW w:type="dxa" w:w="1149"/>
          </w:tcPr>
          <w:p>
            <w:pPr>
              <w:pStyle w:val="Compact"/>
              <w:jc w:val="left"/>
            </w:pPr>
            <w:r>
              <w:t xml:space="preserve">Irrelevant dims</w:t>
            </w:r>
          </w:p>
        </w:tc>
        <w:tc>
          <w:tcPr>
            <w:tcW w:type="dxa" w:w="1149"/>
          </w:tcPr>
          <w:p>
            <w:pPr>
              <w:pStyle w:val="Compact"/>
              <w:jc w:val="left"/>
            </w:pPr>
            <w:r>
              <w:t xml:space="preserve">base</w:t>
            </w:r>
          </w:p>
        </w:tc>
        <w:tc>
          <w:tcPr>
            <w:tcW w:type="dxa" w:w="1149"/>
          </w:tcPr>
          <w:p>
            <w:pPr>
              <w:pStyle w:val="Compact"/>
              <w:jc w:val="center"/>
            </w:pPr>
            <w:r>
              <w:t xml:space="preserve">0.515</w:t>
            </w:r>
          </w:p>
        </w:tc>
        <w:tc>
          <w:tcPr>
            <w:tcW w:type="dxa" w:w="1149"/>
          </w:tcPr>
          <w:p>
            <w:pPr>
              <w:pStyle w:val="Compact"/>
              <w:jc w:val="center"/>
            </w:pPr>
            <w:r>
              <w:t xml:space="preserve">0.413</w:t>
            </w:r>
          </w:p>
        </w:tc>
      </w:tr>
      <w:tr>
        <w:tc>
          <w:tcPr>
            <w:tcW w:type="dxa" w:w="1149"/>
          </w:tcPr>
          <w:p>
            <w:pPr>
              <w:pStyle w:val="Compact"/>
            </w:pPr>
          </w:p>
        </w:tc>
        <w:tc>
          <w:tcPr>
            <w:tcW w:type="dxa" w:w="1149"/>
          </w:tcPr>
          <w:p>
            <w:pPr>
              <w:pStyle w:val="Compact"/>
              <w:jc w:val="left"/>
            </w:pPr>
            <w:r>
              <w:t xml:space="preserve">+50</w:t>
            </w:r>
          </w:p>
        </w:tc>
        <w:tc>
          <w:tcPr>
            <w:tcW w:type="dxa" w:w="1149"/>
          </w:tcPr>
          <w:p>
            <w:pPr>
              <w:pStyle w:val="Compact"/>
              <w:jc w:val="center"/>
            </w:pPr>
            <w:r>
              <w:t xml:space="preserve">0.017</w:t>
            </w:r>
          </w:p>
        </w:tc>
        <w:tc>
          <w:tcPr>
            <w:tcW w:type="dxa" w:w="1149"/>
          </w:tcPr>
          <w:p>
            <w:pPr>
              <w:pStyle w:val="Compact"/>
              <w:jc w:val="center"/>
            </w:pPr>
            <w:r>
              <w:t xml:space="preserve">0.017</w:t>
            </w:r>
          </w:p>
        </w:tc>
      </w:tr>
      <w:tr>
        <w:tc>
          <w:tcPr>
            <w:tcW w:type="dxa" w:w="1149"/>
          </w:tcPr>
          <w:p>
            <w:pPr>
              <w:pStyle w:val="Compact"/>
            </w:pPr>
          </w:p>
        </w:tc>
        <w:tc>
          <w:tcPr>
            <w:tcW w:type="dxa" w:w="1149"/>
          </w:tcPr>
          <w:p>
            <w:pPr>
              <w:pStyle w:val="Compact"/>
              <w:jc w:val="left"/>
            </w:pPr>
            <w:r>
              <w:t xml:space="preserve">+200</w:t>
            </w:r>
          </w:p>
        </w:tc>
        <w:tc>
          <w:tcPr>
            <w:tcW w:type="dxa" w:w="1149"/>
          </w:tcPr>
          <w:p>
            <w:pPr>
              <w:pStyle w:val="Compact"/>
              <w:jc w:val="center"/>
            </w:pPr>
            <w:r>
              <w:t xml:space="preserve">0.002</w:t>
            </w:r>
          </w:p>
        </w:tc>
        <w:tc>
          <w:tcPr>
            <w:tcW w:type="dxa" w:w="1149"/>
          </w:tcPr>
          <w:p>
            <w:pPr>
              <w:pStyle w:val="Compact"/>
              <w:jc w:val="center"/>
            </w:pPr>
            <w:r>
              <w:t xml:space="preserve">0.002</w:t>
            </w:r>
          </w:p>
        </w:tc>
      </w:tr>
      <w:tr>
        <w:tc>
          <w:tcPr>
            <w:tcW w:type="dxa" w:w="1149"/>
          </w:tcPr>
          <w:p>
            <w:pPr>
              <w:pStyle w:val="Compact"/>
            </w:pPr>
          </w:p>
        </w:tc>
        <w:tc>
          <w:tcPr>
            <w:tcW w:type="dxa" w:w="1149"/>
          </w:tcPr>
          <w:p>
            <w:pPr>
              <w:pStyle w:val="Compact"/>
              <w:jc w:val="left"/>
            </w:pPr>
            <w:r>
              <w:t xml:space="preserve">+500</w:t>
            </w:r>
          </w:p>
        </w:tc>
        <w:tc>
          <w:tcPr>
            <w:tcW w:type="dxa" w:w="1149"/>
          </w:tcPr>
          <w:p>
            <w:pPr>
              <w:pStyle w:val="Compact"/>
              <w:jc w:val="center"/>
            </w:pPr>
            <w:r>
              <w:t xml:space="preserve">0.000</w:t>
            </w:r>
          </w:p>
        </w:tc>
        <w:tc>
          <w:tcPr>
            <w:tcW w:type="dxa" w:w="1149"/>
          </w:tcPr>
          <w:p>
            <w:pPr>
              <w:pStyle w:val="Compact"/>
              <w:jc w:val="center"/>
            </w:pPr>
            <w:r>
              <w:t xml:space="preserve">0.000</w:t>
            </w:r>
          </w:p>
        </w:tc>
      </w:tr>
      <w:tr>
        <w:tc>
          <w:tcPr>
            <w:tcW w:type="dxa" w:w="1149"/>
          </w:tcPr>
          <w:p>
            <w:pPr>
              <w:pStyle w:val="Compact"/>
              <w:jc w:val="left"/>
            </w:pPr>
            <w:r>
              <w:t xml:space="preserve">Sample size</w:t>
            </w:r>
            <w:r>
              <w:t xml:space="preserve"> </w:t>
            </w:r>
            <m:oMath>
              <m:r>
                <m:t>n</m:t>
              </m:r>
            </m:oMath>
          </w:p>
        </w:tc>
        <w:tc>
          <w:tcPr>
            <w:tcW w:type="dxa" w:w="1149"/>
          </w:tcPr>
          <w:p>
            <w:pPr>
              <w:pStyle w:val="Compact"/>
              <w:jc w:val="left"/>
            </w:pPr>
            <w:r>
              <w:t xml:space="preserve">1000</w:t>
            </w:r>
          </w:p>
        </w:tc>
        <w:tc>
          <w:tcPr>
            <w:tcW w:type="dxa" w:w="1149"/>
          </w:tcPr>
          <w:p>
            <w:pPr>
              <w:pStyle w:val="Compact"/>
              <w:jc w:val="center"/>
            </w:pPr>
            <w:r>
              <w:t xml:space="preserve">0.324</w:t>
            </w:r>
          </w:p>
        </w:tc>
        <w:tc>
          <w:tcPr>
            <w:tcW w:type="dxa" w:w="1149"/>
          </w:tcPr>
          <w:p>
            <w:pPr>
              <w:pStyle w:val="Compact"/>
              <w:jc w:val="center"/>
            </w:pPr>
            <w:r>
              <w:t xml:space="preserve">0.229</w:t>
            </w:r>
          </w:p>
        </w:tc>
      </w:tr>
      <w:tr>
        <w:tc>
          <w:tcPr>
            <w:tcW w:type="dxa" w:w="1149"/>
          </w:tcPr>
          <w:p>
            <w:pPr>
              <w:pStyle w:val="Compact"/>
            </w:pPr>
          </w:p>
        </w:tc>
        <w:tc>
          <w:tcPr>
            <w:tcW w:type="dxa" w:w="1149"/>
          </w:tcPr>
          <w:p>
            <w:pPr>
              <w:pStyle w:val="Compact"/>
              <w:jc w:val="left"/>
            </w:pPr>
            <w:r>
              <w:t xml:space="preserve">base</w:t>
            </w:r>
          </w:p>
        </w:tc>
        <w:tc>
          <w:tcPr>
            <w:tcW w:type="dxa" w:w="1149"/>
          </w:tcPr>
          <w:p>
            <w:pPr>
              <w:pStyle w:val="Compact"/>
              <w:jc w:val="center"/>
            </w:pPr>
            <w:r>
              <w:t xml:space="preserve">0.515</w:t>
            </w:r>
          </w:p>
        </w:tc>
        <w:tc>
          <w:tcPr>
            <w:tcW w:type="dxa" w:w="1149"/>
          </w:tcPr>
          <w:p>
            <w:pPr>
              <w:pStyle w:val="Compact"/>
              <w:jc w:val="center"/>
            </w:pPr>
            <w:r>
              <w:t xml:space="preserve">0.413</w:t>
            </w:r>
          </w:p>
        </w:tc>
      </w:tr>
      <w:tr>
        <w:tc>
          <w:tcPr>
            <w:tcW w:type="dxa" w:w="1149"/>
          </w:tcPr>
          <w:p>
            <w:pPr>
              <w:pStyle w:val="Compact"/>
            </w:pPr>
          </w:p>
        </w:tc>
        <w:tc>
          <w:tcPr>
            <w:tcW w:type="dxa" w:w="1149"/>
          </w:tcPr>
          <w:p>
            <w:pPr>
              <w:pStyle w:val="Compact"/>
              <w:jc w:val="left"/>
            </w:pPr>
            <w:r>
              <w:t xml:space="preserve">5000</w:t>
            </w:r>
          </w:p>
        </w:tc>
        <w:tc>
          <w:tcPr>
            <w:tcW w:type="dxa" w:w="1149"/>
          </w:tcPr>
          <w:p>
            <w:pPr>
              <w:pStyle w:val="Compact"/>
              <w:jc w:val="center"/>
            </w:pPr>
            <w:r>
              <w:t xml:space="preserve">0.649</w:t>
            </w:r>
          </w:p>
        </w:tc>
        <w:tc>
          <w:tcPr>
            <w:tcW w:type="dxa" w:w="1149"/>
          </w:tcPr>
          <w:p>
            <w:pPr>
              <w:pStyle w:val="Compact"/>
              <w:jc w:val="center"/>
            </w:pPr>
            <w:r>
              <w:t xml:space="preserve">0.595</w:t>
            </w:r>
          </w:p>
        </w:tc>
      </w:tr>
      <w:tr>
        <w:tc>
          <w:tcPr>
            <w:tcW w:type="dxa" w:w="1149"/>
          </w:tcPr>
          <w:p>
            <w:pPr>
              <w:pStyle w:val="Compact"/>
            </w:pPr>
          </w:p>
        </w:tc>
        <w:tc>
          <w:tcPr>
            <w:tcW w:type="dxa" w:w="1149"/>
          </w:tcPr>
          <w:p>
            <w:pPr>
              <w:pStyle w:val="Compact"/>
              <w:jc w:val="left"/>
            </w:pPr>
            <w:r>
              <w:t xml:space="preserve">10000</w:t>
            </w:r>
          </w:p>
        </w:tc>
        <w:tc>
          <w:tcPr>
            <w:tcW w:type="dxa" w:w="1149"/>
          </w:tcPr>
          <w:p>
            <w:pPr>
              <w:pStyle w:val="Compact"/>
              <w:jc w:val="center"/>
            </w:pPr>
            <w:r>
              <w:t xml:space="preserve">0.787</w:t>
            </w:r>
          </w:p>
        </w:tc>
        <w:tc>
          <w:tcPr>
            <w:tcW w:type="dxa" w:w="1149"/>
          </w:tcPr>
          <w:p>
            <w:pPr>
              <w:pStyle w:val="Compact"/>
              <w:jc w:val="center"/>
            </w:pPr>
            <w:r>
              <w:t xml:space="preserve">0.775</w:t>
            </w:r>
          </w:p>
        </w:tc>
      </w:tr>
    </w:tbl>
    <w:bookmarkEnd w:id="145"/>
    <w:bookmarkEnd w:id="146"/>
    <w:bookmarkStart w:id="147" w:name="limitations"/>
    <w:p>
      <w:pPr>
        <w:pStyle w:val="Heading2"/>
        <w:jc w:val="left"/>
      </w:pPr>
      <w:r>
        <w:rPr>
          <w:rFonts w:ascii="Times New Roman" w:hAnsi="Times New Roman" w:cs="Times New Roman"/>
          <w:b/>
          <w:color w:val="C00000"/>
          <w:sz w:val="22"/>
        </w:rPr>
        <w:t>Limitations</w:t>
      </w:r>
    </w:p>
    <w:p>
      <w:pPr>
        <w:pStyle w:val="FirstParagraph"/>
        <w:spacing w:before="0" w:after="0" w:line="240" w:lineRule="auto"/>
        <w:ind w:firstLine="330"/>
        <w:jc w:val="both"/>
      </w:pPr>
      <w:r>
        <w:rPr>
          <w:color w:val="C00000"/>
        </w:rPr>
        <w:t xml:space="preserve">(i) </w:t>
      </w:r>
      <w:r>
        <w:rPr>
          <w:i/>
          <w:iCs/>
          <w:color w:val="C00000"/>
        </w:rPr>
        <w:t xml:space="preserve">Runtime.</w:t>
      </w:r>
      <w:r>
        <w:rPr>
          <w:color w:val="C00000"/>
        </w:rPr>
        <w:t xml:space="preserve"> </w:t>
      </w:r>
      <w:r>
        <w:rPr>
          <w:color w:val="C00000"/>
        </w:rPr>
        <w:t xml:space="preserve">EMR-CGC’s 60-run ensemble is costlier than single-shot methods—seconds to a few minutes per dataset in our experiments—and is the dominant cost of the pipeline.</w:t>
      </w:r>
      <w:r>
        <w:rPr>
          <w:color w:val="C00000"/>
        </w:rPr>
        <w:t xml:space="preserve"> </w:t>
      </w:r>
      <w:r>
        <w:rPr>
          <w:color w:val="C00000"/>
        </w:rPr>
        <w:t xml:space="preserve">(ii) </w:t>
      </w:r>
      <w:r>
        <w:rPr>
          <w:i/>
          <w:iCs/>
          <w:color w:val="C00000"/>
        </w:rPr>
        <w:t xml:space="preserve">Internal–external gap.</w:t>
      </w:r>
      <w:r>
        <w:rPr>
          <w:color w:val="C00000"/>
        </w:rPr>
        <w:t xml:space="preserve"> </w:t>
      </w:r>
      <w:r>
        <w:rPr>
          <w:color w:val="C00000"/>
        </w:rPr>
        <w:t xml:space="preserve">The gate decides on internal metrics (MOD, SIL, BAL), which do not align with ARI, so it is not strictly monotone over the baseline—on Wine it prefers AMR-DE and loses</w:t>
      </w:r>
      <w:r>
        <w:rPr>
          <w:color w:val="C00000"/>
        </w:rPr>
        <w:t xml:space="preserve"> </w:t>
      </w:r>
      <m:oMath>
        <m:r>
          <m:t>0.011</m:t>
        </m:r>
      </m:oMath>
      <w:r>
        <w:rPr>
          <w:color w:val="C00000"/>
        </w:rPr>
        <w:t xml:space="preserve"> </w:t>
      </w:r>
      <w:r>
        <w:rPr>
          <w:color w:val="C00000"/>
        </w:rPr>
        <w:t xml:space="preserve">ARI—and in aggregate scores below the EMR-CGC ensemble it arbitrates (</w:t>
      </w:r>
      <m:oMath>
        <m:r>
          <m:t>0.623</m:t>
        </m:r>
      </m:oMath>
      <w:r>
        <w:rPr>
          <w:color w:val="C00000"/>
        </w:rPr>
        <w:t xml:space="preserve"> </w:t>
      </w:r>
      <w:r>
        <w:rPr>
          <w:color w:val="C00000"/>
        </w:rPr>
        <w:t xml:space="preserve">vs</w:t>
      </w:r>
      <w:r>
        <w:rPr>
          <w:color w:val="C00000"/>
        </w:rPr>
        <w:t xml:space="preserve"> </w:t>
      </w:r>
      <m:oMath>
        <m:r>
          <m:t>0.631</m:t>
        </m:r>
      </m:oMath>
      <w:r>
        <w:rPr>
          <w:color w:val="C00000"/>
        </w:rPr>
        <w:t xml:space="preserve">); its deployable cluster-count error is also large (Table </w:t>
      </w:r>
      <w:hyperlink w:anchor="tab:ccount">
        <w:r>
          <w:rPr>
            <w:rStyle w:val="Hyperlink"/>
          </w:rPr>
          <w:t xml:space="preserve">12</w:t>
        </w:r>
      </w:hyperlink>
      <w:r>
        <w:rPr>
          <w:color w:val="C00000"/>
        </w:rPr>
        <w:t xml:space="preserve">).</w:t>
      </w:r>
      <w:r>
        <w:rPr>
          <w:color w:val="C00000"/>
        </w:rPr>
        <w:t xml:space="preserve"> </w:t>
      </w:r>
      <w:r>
        <w:rPr>
          <w:color w:val="C00000"/>
        </w:rPr>
        <w:t xml:space="preserve">(iii) </w:t>
      </w:r>
      <w:r>
        <w:rPr>
          <w:i/>
          <w:iCs/>
          <w:color w:val="C00000"/>
        </w:rPr>
        <w:t xml:space="preserve">Scalability.</w:t>
      </w:r>
      <w:r>
        <w:rPr>
          <w:color w:val="C00000"/>
        </w:rPr>
        <w:t xml:space="preserve"> </w:t>
      </w:r>
      <w:r>
        <w:rPr>
          <w:color w:val="C00000"/>
        </w:rPr>
        <w:t xml:space="preserve">SNN is</w:t>
      </w:r>
      <w:r>
        <w:rPr>
          <w:color w:val="C00000"/>
        </w:rPr>
        <w:t xml:space="preserve"> </w:t>
      </w:r>
      <m:oMath>
        <m:r>
          <m:rPr>
            <m:scr m:val="script"/>
            <m:sty m:val="p"/>
          </m:rPr>
          <m:t>O</m:t>
        </m:r>
        <m:r>
          <m:rPr>
            <m:sty m:val="p"/>
          </m:rPr>
          <m:t>(</m:t>
        </m:r>
        <m:r>
          <m:t>n</m:t>
        </m:r>
        <m:sSup>
          <m:e>
            <m:r>
              <m:t>k</m:t>
            </m:r>
          </m:e>
          <m:sup>
            <m:r>
              <m:t>2</m:t>
            </m:r>
          </m:sup>
        </m:sSup>
        <m:r>
          <m:rPr>
            <m:sty m:val="p"/>
          </m:rPr>
          <m:t>)</m:t>
        </m:r>
      </m:oMath>
      <w:r>
        <w:rPr>
          <w:color w:val="C00000"/>
        </w:rPr>
        <w:t xml:space="preserve">, so very large</w:t>
      </w:r>
      <w:r>
        <w:rPr>
          <w:color w:val="C00000"/>
        </w:rPr>
        <w:t xml:space="preserve"> </w:t>
      </w:r>
      <m:oMath>
        <m:r>
          <m:t>n</m:t>
        </m:r>
      </m:oMath>
      <w:r>
        <w:rPr>
          <w:color w:val="C00000"/>
        </w:rPr>
        <w:t xml:space="preserve"> </w:t>
      </w:r>
      <w:r>
        <w:rPr>
          <w:color w:val="C00000"/>
        </w:rPr>
        <w:t xml:space="preserve">(</w:t>
      </w:r>
      <m:oMath>
        <m:r>
          <m:rPr>
            <m:sty m:val="p"/>
          </m:rPr>
          <m:t>&gt;</m:t>
        </m:r>
        <m:r>
          <m:t>50</m:t>
        </m:r>
        <m:r>
          <m:rPr>
            <m:sty m:val="p"/>
          </m:rPr>
          <m:t>,</m:t>
        </m:r>
        <m:r>
          <m:t>000</m:t>
        </m:r>
      </m:oMath>
      <w:r>
        <w:rPr>
          <w:color w:val="C00000"/>
        </w:rPr>
        <w:t xml:space="preserve">) would require approximate-NN construction.</w:t>
      </w:r>
      <w:r>
        <w:rPr>
          <w:color w:val="C00000"/>
        </w:rPr>
        <w:t xml:space="preserve"> </w:t>
      </w:r>
      <w:r>
        <w:rPr>
          <w:color w:val="C00000"/>
        </w:rPr>
        <w:t xml:space="preserve">(iv) </w:t>
      </w:r>
      <w:r>
        <w:rPr>
          <w:i/>
          <w:iCs/>
          <w:color w:val="C00000"/>
        </w:rPr>
        <w:t xml:space="preserve">Oracle vs. deployable gap.</w:t>
      </w:r>
      <w:r>
        <w:rPr>
          <w:color w:val="C00000"/>
        </w:rPr>
        <w:t xml:space="preserve"> </w:t>
      </w:r>
      <w:r>
        <w:rPr>
          <w:color w:val="C00000"/>
        </w:rPr>
        <w:t xml:space="preserve">The label-free gate recovers</w:t>
      </w:r>
      <w:r>
        <w:rPr>
          <w:color w:val="C00000"/>
        </w:rPr>
        <w:t xml:space="preserve"> </w:t>
      </w:r>
      <m:oMath>
        <m:r>
          <m:t>65</m:t>
        </m:r>
        <m:r>
          <m:rPr>
            <m:sty m:val="p"/>
          </m:rPr>
          <m:t>%</m:t>
        </m:r>
      </m:oMath>
      <w:r>
        <w:rPr>
          <w:color w:val="C00000"/>
        </w:rPr>
        <w:t xml:space="preserve"> </w:t>
      </w:r>
      <w:r>
        <w:rPr>
          <w:color w:val="C00000"/>
        </w:rPr>
        <w:t xml:space="preserve">of the oracle’s gain over the baseline and trails N2D (Table </w:t>
      </w:r>
      <w:hyperlink w:anchor="tab:gate">
        <w:r>
          <w:rPr>
            <w:rStyle w:val="Hyperlink"/>
          </w:rPr>
          <w:t xml:space="preserve">18</w:t>
        </w:r>
      </w:hyperlink>
      <w:r>
        <w:rPr>
          <w:color w:val="C00000"/>
        </w:rPr>
        <w:t xml:space="preserve">). Across learned, stability, and consensus selectors the gap does not close (best</w:t>
      </w:r>
      <w:r>
        <w:rPr>
          <w:color w:val="C00000"/>
        </w:rPr>
        <w:t xml:space="preserve"> </w:t>
      </w:r>
      <m:oMath>
        <m:r>
          <m:t>64</m:t>
        </m:r>
        <m:r>
          <m:rPr>
            <m:sty m:val="p"/>
          </m:rPr>
          <m:t>%</m:t>
        </m:r>
      </m:oMath>
      <w:r>
        <w:rPr>
          <w:color w:val="C00000"/>
        </w:rPr>
        <w:t xml:space="preserve">), so closing it—better label-free proxies for external quality, or a learned notion of it—is the primary open problem and plausibly requires some supervision.</w:t>
      </w:r>
      <w:r>
        <w:rPr>
          <w:color w:val="C00000"/>
        </w:rPr>
        <w:t xml:space="preserve"> </w:t>
      </w:r>
      <w:r>
        <w:rPr>
          <w:color w:val="C00000"/>
        </w:rPr>
        <w:t xml:space="preserve">(v) </w:t>
      </w:r>
      <w:r>
        <w:rPr>
          <w:i/>
          <w:iCs/>
          <w:color w:val="C00000"/>
        </w:rPr>
        <w:t xml:space="preserve">Irrelevant features.</w:t>
      </w:r>
      <w:r>
        <w:rPr>
          <w:color w:val="C00000"/>
        </w:rPr>
        <w:t xml:space="preserve"> </w:t>
      </w:r>
      <w:r>
        <w:rPr>
          <w:color w:val="C00000"/>
        </w:rPr>
        <w:t xml:space="preserve">Like other distance/graph methods, DEAC degrades sharply when informative features are outnumbered by irrelevant ones (Table </w:t>
      </w:r>
      <w:hyperlink w:anchor="tab:robustness">
        <w:r>
          <w:rPr>
            <w:rStyle w:val="Hyperlink"/>
          </w:rPr>
          <w:t xml:space="preserve">19</w:t>
        </w:r>
      </w:hyperlink>
      <w:r>
        <w:rPr>
          <w:color w:val="C00000"/>
        </w:rPr>
        <w:t xml:space="preserve">); it presumes a modest feature-relevance ratio or a prior feature-selection step.</w:t>
      </w:r>
    </w:p>
    <w:bookmarkEnd w:id="147"/>
    <w:bookmarkEnd w:id="148"/>
    <w:bookmarkStart w:id="150" w:name="sec:conc"/>
    <w:p>
      <w:pPr>
        <w:pStyle w:val="Heading1"/>
        <w:jc w:val="left"/>
      </w:pPr>
      <w:r>
        <w:rPr>
          <w:rFonts w:ascii="Times New Roman" w:hAnsi="Times New Roman" w:cs="Times New Roman"/>
          <w:b/>
          <w:color w:val="C00000"/>
          <w:sz w:val="24"/>
        </w:rPr>
        <w:t>6.  Conclusion</w:t>
      </w:r>
    </w:p>
    <w:p>
      <w:pPr>
        <w:pStyle w:val="FirstParagraph"/>
        <w:spacing w:before="0" w:after="0" w:line="240" w:lineRule="auto"/>
        <w:ind w:firstLine="330"/>
        <w:jc w:val="both"/>
      </w:pPr>
      <w:r>
        <w:rPr>
          <w:color w:val="C00000"/>
        </w:rPr>
        <w:t xml:space="preserve">We presented evidence that internal clustering metrics are an unreliable proxy for external accuracy—an engine that maximizes modularity and silhouette scores</w:t>
      </w:r>
      <w:r>
        <w:rPr>
          <w:color w:val="C00000"/>
        </w:rPr>
        <w:t xml:space="preserve"> </w:t>
      </w:r>
      <w:r>
        <w:rPr>
          <w:i/>
          <w:iCs/>
          <w:color w:val="C00000"/>
        </w:rPr>
        <w:t xml:space="preserve">below</w:t>
      </w:r>
      <w:r>
        <w:rPr>
          <w:color w:val="C00000"/>
        </w:rPr>
        <w:t xml:space="preserve"> </w:t>
      </w:r>
      <w:r>
        <w:rPr>
          <w:color w:val="C00000"/>
        </w:rPr>
        <w:t xml:space="preserve">an unoptimized baseline (</w:t>
      </w:r>
      <m:oMath>
        <m:r>
          <m:t>0.563</m:t>
        </m:r>
      </m:oMath>
      <w:r>
        <w:rPr>
          <w:color w:val="C00000"/>
        </w:rPr>
        <w:t xml:space="preserve"> </w:t>
      </w:r>
      <w:r>
        <w:rPr>
          <w:color w:val="C00000"/>
        </w:rPr>
        <w:t xml:space="preserve">vs</w:t>
      </w:r>
      <w:r>
        <w:rPr>
          <w:color w:val="C00000"/>
        </w:rPr>
        <w:t xml:space="preserve"> </w:t>
      </w:r>
      <m:oMath>
        <m:r>
          <m:t>0.580</m:t>
        </m:r>
      </m:oMath>
      <w:r>
        <w:rPr>
          <w:color w:val="C00000"/>
        </w:rPr>
        <w:t xml:space="preserve"> </w:t>
      </w:r>
      <w:r>
        <w:rPr>
          <w:color w:val="C00000"/>
        </w:rPr>
        <w:t xml:space="preserve">mean ARI)—and a characterization of how far a label-free rule can close the resulting oracle–deployable gap. The framework, DEAC (Defensive Ensemble Adaptive Clustering), makes this precise: a multi-representation SNN–Leiden ensemble (EMR-CGC) that infers the cluster count and is competitive with strong classical and deep baselines (</w:t>
      </w:r>
      <m:oMath>
        <m:r>
          <m:t>0.631</m:t>
        </m:r>
      </m:oMath>
      <w:r>
        <w:rPr>
          <w:color w:val="C00000"/>
        </w:rPr>
        <w:t xml:space="preserve"> </w:t>
      </w:r>
      <w:r>
        <w:rPr>
          <w:color w:val="C00000"/>
        </w:rPr>
        <w:t xml:space="preserve">mean ARI, trailing only N2D), arbitrated by a three-layer QualityGate that acts as a conservative safety net (</w:t>
      </w:r>
      <m:oMath>
        <m:r>
          <m:t>0.623</m:t>
        </m:r>
      </m:oMath>
      <w:r>
        <w:rPr>
          <w:color w:val="C00000"/>
        </w:rPr>
        <w:t xml:space="preserve">) rather than an accuracy booster. The label-aware oracle (</w:t>
      </w:r>
      <m:oMath>
        <m:r>
          <m:t>0.646</m:t>
        </m:r>
      </m:oMath>
      <w:r>
        <w:rPr>
          <w:color w:val="C00000"/>
        </w:rPr>
        <w:t xml:space="preserve">) only matches N2D, and no label-free selector we tested—metric re-weighting, learned, stability, or consensus—recovers more than</w:t>
      </w:r>
      <w:r>
        <w:rPr>
          <w:color w:val="C00000"/>
        </w:rPr>
        <w:t xml:space="preserve"> </w:t>
      </w:r>
      <m:oMath>
        <m:r>
          <m:t>65</m:t>
        </m:r>
        <m:r>
          <m:rPr>
            <m:sty m:val="p"/>
          </m:rPr>
          <m:t>%</m:t>
        </m:r>
      </m:oMath>
      <w:r>
        <w:rPr>
          <w:color w:val="C00000"/>
        </w:rPr>
        <w:t xml:space="preserve"> </w:t>
      </w:r>
      <w:r>
        <w:rPr>
          <w:color w:val="C00000"/>
        </w:rPr>
        <w:t xml:space="preserve">of its gain over the baseline, indicating the gap is structural. The lesson is that the bottleneck in automatic clustering is not clustering power but the inability to</w:t>
      </w:r>
      <w:r>
        <w:rPr>
          <w:color w:val="C00000"/>
        </w:rPr>
        <w:t xml:space="preserve"> </w:t>
      </w:r>
      <w:r>
        <w:rPr>
          <w:i/>
          <w:iCs/>
          <w:color w:val="C00000"/>
        </w:rPr>
        <w:t xml:space="preserve">recognize</w:t>
      </w:r>
      <w:r>
        <w:rPr>
          <w:color w:val="C00000"/>
        </w:rPr>
        <w:t xml:space="preserve"> </w:t>
      </w:r>
      <w:r>
        <w:rPr>
          <w:color w:val="C00000"/>
        </w:rPr>
        <w:t xml:space="preserve">a good partition without labels. Three extensions remain open.</w:t>
      </w:r>
    </w:p>
    <w:p>
      <w:pPr>
        <w:pStyle w:val="BodyText"/>
        <w:spacing w:before="0" w:after="0" w:line="240" w:lineRule="auto"/>
        <w:ind w:firstLine="330"/>
        <w:jc w:val="both"/>
      </w:pPr>
      <w:r>
        <w:rPr>
          <w:color w:val="C00000"/>
        </w:rPr>
        <w:t xml:space="preserve">The first is approximate-NN SNN construction, which would extend DEAC beyond</w:t>
      </w:r>
      <w:r>
        <w:rPr>
          <w:color w:val="C00000"/>
        </w:rPr>
        <w:t xml:space="preserve"> </w:t>
      </w:r>
      <m:oMath>
        <m:r>
          <m:t>n</m:t>
        </m:r>
        <m:r>
          <m:rPr>
            <m:sty m:val="p"/>
          </m:rPr>
          <m:t>=</m:t>
        </m:r>
        <m:r>
          <m:t>50</m:t>
        </m:r>
      </m:oMath>
      <w:r>
        <w:rPr>
          <w:color w:val="C00000"/>
        </w:rPr>
        <w:t xml:space="preserve">k. The second is integrating deep representation learning into the RepScan stage. The third is a semi-supervised variant that uses partial labels to close the internal–external metric gap identified in §</w:t>
      </w:r>
      <w:hyperlink w:anchor="sec:disc">
        <w:r>
          <w:rPr>
            <w:rStyle w:val="Hyperlink"/>
          </w:rPr>
          <w:t xml:space="preserve">5</w:t>
        </w:r>
      </w:hyperlink>
      <w:r>
        <w:rPr>
          <w:color w:val="C00000"/>
        </w:rPr>
        <w:t xml:space="preserve">.</w:t>
      </w:r>
    </w:p>
    <w:p>
      <w:pPr>
        <w:pStyle w:val="BodyText"/>
        <w:spacing w:before="0" w:after="0" w:line="240" w:lineRule="auto"/>
        <w:ind w:firstLine="330"/>
        <w:jc w:val="both"/>
      </w:pPr>
      <w:r>
        <w:rPr>
          <w:i/>
          <w:iCs/>
          <w:color w:val="C00000"/>
        </w:rPr>
        <w:t xml:space="preserve">Code and data availability.</w:t>
      </w:r>
      <w:r>
        <w:rPr>
          <w:color w:val="C00000"/>
        </w:rPr>
        <w:t xml:space="preserve"> </w:t>
      </w:r>
      <w:r>
        <w:rPr>
          <w:color w:val="C00000"/>
        </w:rPr>
        <w:t xml:space="preserve">The framework, all experiment scripts, and the oracle–deployable gap study are available at</w:t>
      </w:r>
      <w:r>
        <w:rPr>
          <w:color w:val="C00000"/>
        </w:rPr>
        <w:t xml:space="preserve"> </w:t>
      </w:r>
      <w:hyperlink r:id="rId149">
        <w:r>
          <w:rPr>
            <w:rStyle w:val="Hyperlink"/>
          </w:rPr>
          <w:t xml:space="preserve">https://github.com/al-shaibani-star/-DEAC</w:t>
        </w:r>
      </w:hyperlink>
      <w:r>
        <w:rPr>
          <w:color w:val="C00000"/>
        </w:rPr>
        <w:t xml:space="preserve">.</w:t>
      </w:r>
    </w:p>
    <w:bookmarkEnd w:id="150"/>
    <w:bookmarkStart w:id="151" w:name="conflicts-of-interest"/>
    <w:p>
      <w:pPr>
        <w:pStyle w:val="Heading1"/>
        <w:jc w:val="left"/>
      </w:pPr>
      <w:r>
        <w:rPr>
          <w:rFonts w:ascii="Times New Roman" w:hAnsi="Times New Roman" w:cs="Times New Roman"/>
          <w:b/>
          <w:color w:val="C00000"/>
          <w:sz w:val="24"/>
        </w:rPr>
        <w:t>Conflicts of Interest</w:t>
      </w:r>
    </w:p>
    <w:p>
      <w:pPr>
        <w:pStyle w:val="FirstParagraph"/>
        <w:spacing w:before="0" w:after="0" w:line="240" w:lineRule="auto"/>
        <w:ind w:firstLine="330"/>
        <w:jc w:val="both"/>
      </w:pPr>
      <w:r>
        <w:rPr>
          <w:color w:val="C00000"/>
        </w:rPr>
        <w:t xml:space="preserve">The author declares no conflict of interest.</w:t>
      </w:r>
    </w:p>
    <w:bookmarkEnd w:id="151"/>
    <w:bookmarkStart w:id="152" w:name="acknowledgments"/>
    <w:p>
      <w:pPr>
        <w:pStyle w:val="Heading1"/>
        <w:jc w:val="left"/>
      </w:pPr>
      <w:r>
        <w:rPr>
          <w:rFonts w:ascii="Times New Roman" w:hAnsi="Times New Roman" w:cs="Times New Roman"/>
          <w:b/>
          <w:color w:val="C00000"/>
          <w:sz w:val="24"/>
        </w:rPr>
        <w:t>Acknowledgments</w:t>
      </w:r>
    </w:p>
    <w:p>
      <w:pPr>
        <w:pStyle w:val="FirstParagraph"/>
        <w:spacing w:before="0" w:after="0" w:line="240" w:lineRule="auto"/>
        <w:ind w:firstLine="330"/>
        <w:jc w:val="both"/>
      </w:pPr>
      <w:r>
        <w:rPr>
          <w:color w:val="C00000"/>
        </w:rPr>
        <w:t xml:space="preserve">The author received no specific grant for this research from any funding agency in the public, commercial, or not-for-profit sectors.</w:t>
      </w:r>
    </w:p>
    <w:bookmarkEnd w:id="152"/>
    <w:bookmarkStart w:id="153" w:name="references"/>
    <w:p>
      <w:pPr>
        <w:pStyle w:val="Heading1"/>
        <w:jc w:val="left"/>
      </w:pPr>
      <w:r>
        <w:rPr>
          <w:rFonts w:ascii="Times New Roman" w:hAnsi="Times New Roman" w:cs="Times New Roman"/>
          <w:b/>
          <w:color w:val="000000"/>
          <w:sz w:val="24"/>
        </w:rPr>
        <w:t>References</w:t>
      </w:r>
    </w:p>
    <w:p>
      <w:pPr>
        <w:pStyle w:val="FirstParagraph"/>
        <w:spacing w:before="0" w:after="0" w:line="240" w:lineRule="auto"/>
        <w:ind w:hanging="360" w:left="360"/>
        <w:jc w:val="both"/>
      </w:pPr>
      <w:r>
        <w:t xml:space="preserve">[1] A. K. Jain,</w:t>
      </w:r>
      <w:r>
        <w:t xml:space="preserve"> </w:t>
      </w:r>
      <w:r>
        <w:t xml:space="preserve">“Data clustering: 50 years beyond K-means”</w:t>
      </w:r>
      <w:r>
        <w:t xml:space="preserve">,</w:t>
      </w:r>
      <w:r>
        <w:t xml:space="preserve"> </w:t>
      </w:r>
      <w:r>
        <w:rPr>
          <w:i/>
          <w:iCs/>
        </w:rPr>
        <w:t xml:space="preserve">Pattern Recognition Letters</w:t>
      </w:r>
      <w:r>
        <w:t xml:space="preserve">, Vol. 31, No. 8, pp. 573-580, 2010.</w:t>
      </w:r>
    </w:p>
    <w:p>
      <w:pPr>
        <w:pStyle w:val="BodyText"/>
        <w:spacing w:before="0" w:after="0" w:line="240" w:lineRule="auto"/>
        <w:ind w:hanging="360" w:left="360"/>
        <w:jc w:val="both"/>
      </w:pPr>
      <w:r>
        <w:t xml:space="preserve">[2] M. Steinbach, L. Ertöz, and V. Kumar,</w:t>
      </w:r>
      <w:r>
        <w:t xml:space="preserve"> </w:t>
      </w:r>
      <w:r>
        <w:t xml:space="preserve">“The challenges of clustering high dimensional data”</w:t>
      </w:r>
      <w:r>
        <w:t xml:space="preserve">, in</w:t>
      </w:r>
      <w:r>
        <w:t xml:space="preserve"> </w:t>
      </w:r>
      <w:r>
        <w:rPr>
          <w:i/>
          <w:iCs/>
        </w:rPr>
        <w:t xml:space="preserve">New Directions in Statistical Physics</w:t>
      </w:r>
      <w:r>
        <w:t xml:space="preserve">, Springer, 2004, pp. 273-309.</w:t>
      </w:r>
    </w:p>
    <w:p>
      <w:pPr>
        <w:pStyle w:val="BodyText"/>
        <w:spacing w:before="0" w:after="0" w:line="240" w:lineRule="auto"/>
        <w:ind w:hanging="360" w:left="360"/>
        <w:jc w:val="both"/>
      </w:pPr>
      <w:r>
        <w:t xml:space="preserve">[3] S. Lloyd,</w:t>
      </w:r>
      <w:r>
        <w:t xml:space="preserve"> </w:t>
      </w:r>
      <w:r>
        <w:t xml:space="preserve">“Least squares quantization in PCM”</w:t>
      </w:r>
      <w:r>
        <w:t xml:space="preserve">,</w:t>
      </w:r>
      <w:r>
        <w:t xml:space="preserve"> </w:t>
      </w:r>
      <w:r>
        <w:rPr>
          <w:i/>
          <w:iCs/>
        </w:rPr>
        <w:t xml:space="preserve">IEEE Trans. Inf. Theory</w:t>
      </w:r>
      <w:r>
        <w:t xml:space="preserve">, Vol. 28, No. 2, pp. 129-137, 1982.</w:t>
      </w:r>
    </w:p>
    <w:p>
      <w:pPr>
        <w:pStyle w:val="BodyText"/>
        <w:spacing w:before="0" w:after="0" w:line="240" w:lineRule="auto"/>
        <w:ind w:hanging="360" w:left="360"/>
        <w:jc w:val="both"/>
      </w:pPr>
      <w:r>
        <w:t xml:space="preserve">[4] A. Y. Ng, M. I. Jordan, and Y. Weiss,</w:t>
      </w:r>
      <w:r>
        <w:t xml:space="preserve"> </w:t>
      </w:r>
      <w:r>
        <w:t xml:space="preserve">“On spectral clustering: Analysis and an algorithm”</w:t>
      </w:r>
      <w:r>
        <w:t xml:space="preserve">, in</w:t>
      </w:r>
      <w:r>
        <w:t xml:space="preserve"> </w:t>
      </w:r>
      <w:r>
        <w:rPr>
          <w:i/>
          <w:iCs/>
        </w:rPr>
        <w:t xml:space="preserve">Proc. NeurIPS</w:t>
      </w:r>
      <w:r>
        <w:t xml:space="preserve">, 2001, pp. 849-856.</w:t>
      </w:r>
    </w:p>
    <w:p>
      <w:pPr>
        <w:pStyle w:val="BodyText"/>
        <w:spacing w:before="0" w:after="0" w:line="240" w:lineRule="auto"/>
        <w:ind w:hanging="360" w:left="360"/>
        <w:jc w:val="both"/>
      </w:pPr>
      <w:r>
        <w:t xml:space="preserve">[5] R. J. G. B. Campello, D. Moulavi, and J. Sander,</w:t>
      </w:r>
      <w:r>
        <w:t xml:space="preserve"> </w:t>
      </w:r>
      <w:r>
        <w:t xml:space="preserve">“Density-based clustering based on hierarchical density estimates”</w:t>
      </w:r>
      <w:r>
        <w:t xml:space="preserve">, in</w:t>
      </w:r>
      <w:r>
        <w:t xml:space="preserve"> </w:t>
      </w:r>
      <w:r>
        <w:rPr>
          <w:i/>
          <w:iCs/>
        </w:rPr>
        <w:t xml:space="preserve">Proc. PAKDD</w:t>
      </w:r>
      <w:r>
        <w:t xml:space="preserve">, Springer, 2013, pp. 160-172.</w:t>
      </w:r>
    </w:p>
    <w:p>
      <w:pPr>
        <w:pStyle w:val="BodyText"/>
        <w:spacing w:before="0" w:after="0" w:line="240" w:lineRule="auto"/>
        <w:ind w:hanging="360" w:left="360"/>
        <w:jc w:val="both"/>
      </w:pPr>
      <w:r>
        <w:t xml:space="preserve">[6] S. E. Schaeffer,</w:t>
      </w:r>
      <w:r>
        <w:t xml:space="preserve"> </w:t>
      </w:r>
      <w:r>
        <w:t xml:space="preserve">“Graph clustering”</w:t>
      </w:r>
      <w:r>
        <w:t xml:space="preserve">,</w:t>
      </w:r>
      <w:r>
        <w:t xml:space="preserve"> </w:t>
      </w:r>
      <w:r>
        <w:rPr>
          <w:i/>
          <w:iCs/>
        </w:rPr>
        <w:t xml:space="preserve">Computer Science Review</w:t>
      </w:r>
      <w:r>
        <w:t xml:space="preserve">, Vol. 1, No. 1, pp. 27-64, 2007.</w:t>
      </w:r>
    </w:p>
    <w:p>
      <w:pPr>
        <w:pStyle w:val="BodyText"/>
        <w:spacing w:before="0" w:after="0" w:line="240" w:lineRule="auto"/>
        <w:ind w:hanging="360" w:left="360"/>
        <w:jc w:val="both"/>
      </w:pPr>
      <w:r>
        <w:t xml:space="preserve">[7] V. D. Blondel, J.-L. Guillaume, R. Lambiotte, and E. Lefebvre,</w:t>
      </w:r>
      <w:r>
        <w:t xml:space="preserve"> </w:t>
      </w:r>
      <w:r>
        <w:t xml:space="preserve">“Fast unfolding of communities in large networks”</w:t>
      </w:r>
      <w:r>
        <w:t xml:space="preserve">,</w:t>
      </w:r>
      <w:r>
        <w:t xml:space="preserve"> </w:t>
      </w:r>
      <w:r>
        <w:rPr>
          <w:i/>
          <w:iCs/>
        </w:rPr>
        <w:t xml:space="preserve">J. Stat. Mech.</w:t>
      </w:r>
      <w:r>
        <w:t xml:space="preserve">, Vol. 2008, No. 10, p. P10008, 2008.</w:t>
      </w:r>
    </w:p>
    <w:p>
      <w:pPr>
        <w:pStyle w:val="BodyText"/>
        <w:spacing w:before="0" w:after="0" w:line="240" w:lineRule="auto"/>
        <w:ind w:hanging="360" w:left="360"/>
        <w:jc w:val="both"/>
      </w:pPr>
      <w:r>
        <w:t xml:space="preserve">[8] V. A. Traag, L. Waltman, and N. J. van Eck,</w:t>
      </w:r>
      <w:r>
        <w:t xml:space="preserve"> </w:t>
      </w:r>
      <w:r>
        <w:t xml:space="preserve">“From Louvain to Leiden: guaranteeing well-connected communities”</w:t>
      </w:r>
      <w:r>
        <w:t xml:space="preserve">,</w:t>
      </w:r>
      <w:r>
        <w:t xml:space="preserve"> </w:t>
      </w:r>
      <w:r>
        <w:rPr>
          <w:i/>
          <w:iCs/>
        </w:rPr>
        <w:t xml:space="preserve">Scientific Reports</w:t>
      </w:r>
      <w:r>
        <w:t xml:space="preserve">, Vol. 9, No. 1, p. 5233, 2019.</w:t>
      </w:r>
    </w:p>
    <w:p>
      <w:pPr>
        <w:pStyle w:val="BodyText"/>
        <w:spacing w:before="0" w:after="0" w:line="240" w:lineRule="auto"/>
        <w:ind w:hanging="360" w:left="360"/>
        <w:jc w:val="both"/>
      </w:pPr>
      <w:r>
        <w:t xml:space="preserve">[9] I. T. Jolliffe,</w:t>
      </w:r>
      <w:r>
        <w:t xml:space="preserve"> </w:t>
      </w:r>
      <w:r>
        <w:rPr>
          <w:i/>
          <w:iCs/>
        </w:rPr>
        <w:t xml:space="preserve">Principal Component Analysis</w:t>
      </w:r>
      <w:r>
        <w:t xml:space="preserve">, 2nd ed. Springer, 2002.</w:t>
      </w:r>
    </w:p>
    <w:p>
      <w:pPr>
        <w:pStyle w:val="BodyText"/>
        <w:spacing w:before="0" w:after="0" w:line="240" w:lineRule="auto"/>
        <w:ind w:hanging="360" w:left="360"/>
        <w:jc w:val="both"/>
      </w:pPr>
      <w:r>
        <w:t xml:space="preserve">[10] L. McInnes, J. Healy, and J. Melville,</w:t>
      </w:r>
      <w:r>
        <w:t xml:space="preserve"> </w:t>
      </w:r>
      <w:r>
        <w:t xml:space="preserve">“UMAP: Uniform Manifold Approximation and Projection for dimension reduction”</w:t>
      </w:r>
      <w:r>
        <w:t xml:space="preserve">,</w:t>
      </w:r>
      <w:r>
        <w:t xml:space="preserve"> </w:t>
      </w:r>
      <w:r>
        <w:rPr>
          <w:i/>
          <w:iCs/>
        </w:rPr>
        <w:t xml:space="preserve">arXiv:1802.03426</w:t>
      </w:r>
      <w:r>
        <w:t xml:space="preserve">, 2018.</w:t>
      </w:r>
    </w:p>
    <w:p>
      <w:pPr>
        <w:pStyle w:val="BodyText"/>
        <w:spacing w:before="0" w:after="0" w:line="240" w:lineRule="auto"/>
        <w:ind w:hanging="360" w:left="360"/>
        <w:jc w:val="both"/>
      </w:pPr>
      <w:r>
        <w:t xml:space="preserve">[11] L. van der Maaten and G. Hinton,</w:t>
      </w:r>
      <w:r>
        <w:t xml:space="preserve"> </w:t>
      </w:r>
      <w:r>
        <w:t xml:space="preserve">“Visualizing data using t-SNE”</w:t>
      </w:r>
      <w:r>
        <w:t xml:space="preserve">,</w:t>
      </w:r>
      <w:r>
        <w:t xml:space="preserve"> </w:t>
      </w:r>
      <w:r>
        <w:rPr>
          <w:i/>
          <w:iCs/>
        </w:rPr>
        <w:t xml:space="preserve">J. Mach. Learn. Res.</w:t>
      </w:r>
      <w:r>
        <w:t xml:space="preserve">, Vol. 9, pp. 2579-2605, 2008.</w:t>
      </w:r>
    </w:p>
    <w:p>
      <w:pPr>
        <w:pStyle w:val="BodyText"/>
        <w:spacing w:before="0" w:after="0" w:line="240" w:lineRule="auto"/>
        <w:ind w:hanging="360" w:left="360"/>
        <w:jc w:val="both"/>
      </w:pPr>
      <w:r>
        <w:t xml:space="preserve">[12] R. Storn and K. Price,</w:t>
      </w:r>
      <w:r>
        <w:t xml:space="preserve"> </w:t>
      </w:r>
      <w:r>
        <w:t xml:space="preserve">“Differential evolution—a simple and efficient heuristic for global optimization over continuous spaces”</w:t>
      </w:r>
      <w:r>
        <w:t xml:space="preserve">,</w:t>
      </w:r>
      <w:r>
        <w:t xml:space="preserve"> </w:t>
      </w:r>
      <w:r>
        <w:rPr>
          <w:i/>
          <w:iCs/>
        </w:rPr>
        <w:t xml:space="preserve">J. Global Optim.</w:t>
      </w:r>
      <w:r>
        <w:t xml:space="preserve">, Vol. 11, No. 4, pp. 341-359, 1997.</w:t>
      </w:r>
    </w:p>
    <w:p>
      <w:pPr>
        <w:pStyle w:val="BodyText"/>
        <w:spacing w:before="0" w:after="0" w:line="240" w:lineRule="auto"/>
        <w:ind w:hanging="360" w:left="360"/>
        <w:jc w:val="both"/>
      </w:pPr>
      <w:r>
        <w:t xml:space="preserve">[13] S. Mirjalili, S. M. Mirjalili, and A. Lewis,</w:t>
      </w:r>
      <w:r>
        <w:t xml:space="preserve"> </w:t>
      </w:r>
      <w:r>
        <w:t xml:space="preserve">“Grey Wolf Optimizer”</w:t>
      </w:r>
      <w:r>
        <w:t xml:space="preserve">,</w:t>
      </w:r>
      <w:r>
        <w:t xml:space="preserve"> </w:t>
      </w:r>
      <w:r>
        <w:rPr>
          <w:i/>
          <w:iCs/>
        </w:rPr>
        <w:t xml:space="preserve">Advances in Engineering Software</w:t>
      </w:r>
      <w:r>
        <w:t xml:space="preserve">, Vol. 69, pp. 46-61, 2014.</w:t>
      </w:r>
    </w:p>
    <w:p>
      <w:pPr>
        <w:pStyle w:val="BodyText"/>
        <w:spacing w:before="0" w:after="0" w:line="240" w:lineRule="auto"/>
        <w:ind w:hanging="360" w:left="360"/>
        <w:jc w:val="both"/>
      </w:pPr>
      <w:r>
        <w:t xml:space="preserve">[14] X.-S. Yang,</w:t>
      </w:r>
      <w:r>
        <w:t xml:space="preserve"> </w:t>
      </w:r>
      <w:r>
        <w:rPr>
          <w:i/>
          <w:iCs/>
        </w:rPr>
        <w:t xml:space="preserve">Nature-Inspired Metaheuristic Algorithms</w:t>
      </w:r>
      <w:r>
        <w:t xml:space="preserve">, 2nd ed. Luniver Press, 2010.</w:t>
      </w:r>
    </w:p>
    <w:p>
      <w:pPr>
        <w:pStyle w:val="BodyText"/>
        <w:spacing w:before="0" w:after="0" w:line="240" w:lineRule="auto"/>
        <w:ind w:hanging="360" w:left="360"/>
        <w:jc w:val="both"/>
      </w:pPr>
      <w:r>
        <w:t xml:space="preserve">[15] H. Faris, I. Aljarah, M. A. Al-Betar, and S. Mirjalili,</w:t>
      </w:r>
      <w:r>
        <w:t xml:space="preserve"> </w:t>
      </w:r>
      <w:r>
        <w:t xml:space="preserve">“Grey wolf optimizer: a review of recent variants and applications”</w:t>
      </w:r>
      <w:r>
        <w:t xml:space="preserve">,</w:t>
      </w:r>
      <w:r>
        <w:t xml:space="preserve"> </w:t>
      </w:r>
      <w:r>
        <w:rPr>
          <w:i/>
          <w:iCs/>
        </w:rPr>
        <w:t xml:space="preserve">Neural Computing and Applications</w:t>
      </w:r>
      <w:r>
        <w:t xml:space="preserve">, Vol. 30, No. 2, pp. 413-435, 2018.</w:t>
      </w:r>
    </w:p>
    <w:p>
      <w:pPr>
        <w:pStyle w:val="BodyText"/>
        <w:spacing w:before="0" w:after="0" w:line="240" w:lineRule="auto"/>
        <w:ind w:hanging="360" w:left="360"/>
        <w:jc w:val="both"/>
      </w:pPr>
      <w:r>
        <w:t xml:space="preserve">[16] L. Ertöz, M. Steinbach, and V. Kumar,</w:t>
      </w:r>
      <w:r>
        <w:t xml:space="preserve"> </w:t>
      </w:r>
      <w:r>
        <w:t xml:space="preserve">“Finding clusters of different sizes, shapes, and densities in noisy, high dimensional data”</w:t>
      </w:r>
      <w:r>
        <w:t xml:space="preserve">, in</w:t>
      </w:r>
      <w:r>
        <w:t xml:space="preserve"> </w:t>
      </w:r>
      <w:r>
        <w:rPr>
          <w:i/>
          <w:iCs/>
        </w:rPr>
        <w:t xml:space="preserve">Proc. SIAM Int. Conf. Data Mining</w:t>
      </w:r>
      <w:r>
        <w:t xml:space="preserve">, 2003, pp. 47-58.</w:t>
      </w:r>
    </w:p>
    <w:p>
      <w:pPr>
        <w:pStyle w:val="BodyText"/>
        <w:spacing w:before="0" w:after="0" w:line="240" w:lineRule="auto"/>
        <w:ind w:hanging="360" w:left="360"/>
        <w:jc w:val="both"/>
      </w:pPr>
      <w:r>
        <w:t xml:space="preserve">[17] Y. Wang and M. J. Samonte,</w:t>
      </w:r>
      <w:r>
        <w:t xml:space="preserve"> </w:t>
      </w:r>
      <w:r>
        <w:t xml:space="preserve">“Density peak clustering algorithm based on adaptive K-nearest neighbors for manifold data”</w:t>
      </w:r>
      <w:r>
        <w:t xml:space="preserve">,</w:t>
      </w:r>
      <w:r>
        <w:t xml:space="preserve"> </w:t>
      </w:r>
      <w:r>
        <w:rPr>
          <w:i/>
          <w:iCs/>
        </w:rPr>
        <w:t xml:space="preserve">Discover Applied Sciences</w:t>
      </w:r>
      <w:r>
        <w:t xml:space="preserve">, Vol. 8, art. 165, 2026.</w:t>
      </w:r>
    </w:p>
    <w:p>
      <w:pPr>
        <w:pStyle w:val="BodyText"/>
        <w:spacing w:before="0" w:after="0" w:line="240" w:lineRule="auto"/>
        <w:ind w:hanging="360" w:left="360"/>
        <w:jc w:val="both"/>
      </w:pPr>
      <w:r>
        <w:t xml:space="preserve">[18] A. Strehl and J. Ghosh,</w:t>
      </w:r>
      <w:r>
        <w:t xml:space="preserve"> </w:t>
      </w:r>
      <w:r>
        <w:t xml:space="preserve">“Cluster ensembles—a knowledge reuse framework for combining multiple partitions”</w:t>
      </w:r>
      <w:r>
        <w:t xml:space="preserve">,</w:t>
      </w:r>
      <w:r>
        <w:t xml:space="preserve"> </w:t>
      </w:r>
      <w:r>
        <w:rPr>
          <w:i/>
          <w:iCs/>
        </w:rPr>
        <w:t xml:space="preserve">J. Mach. Learn. Res.</w:t>
      </w:r>
      <w:r>
        <w:t xml:space="preserve">, Vol. 3, pp. 583-617, 2002.</w:t>
      </w:r>
    </w:p>
    <w:p>
      <w:pPr>
        <w:pStyle w:val="BodyText"/>
        <w:spacing w:before="0" w:after="0" w:line="240" w:lineRule="auto"/>
        <w:ind w:hanging="360" w:left="360"/>
        <w:jc w:val="both"/>
      </w:pPr>
      <w:r>
        <w:t xml:space="preserve">[19] A. L. N. Fred and A. K. Jain,</w:t>
      </w:r>
      <w:r>
        <w:t xml:space="preserve"> </w:t>
      </w:r>
      <w:r>
        <w:t xml:space="preserve">“Combining multiple clusterings using evidence accumulation”</w:t>
      </w:r>
      <w:r>
        <w:t xml:space="preserve">,</w:t>
      </w:r>
      <w:r>
        <w:t xml:space="preserve"> </w:t>
      </w:r>
      <w:r>
        <w:rPr>
          <w:i/>
          <w:iCs/>
        </w:rPr>
        <w:t xml:space="preserve">IEEE Trans. Pattern Anal. Mach. Intell.</w:t>
      </w:r>
      <w:r>
        <w:t xml:space="preserve">, Vol. 27, No. 6, pp. 835-850, 2005.</w:t>
      </w:r>
    </w:p>
    <w:p>
      <w:pPr>
        <w:pStyle w:val="BodyText"/>
        <w:spacing w:before="0" w:after="0" w:line="240" w:lineRule="auto"/>
        <w:ind w:hanging="360" w:left="360"/>
        <w:jc w:val="both"/>
      </w:pPr>
      <w:r>
        <w:t xml:space="preserve">[20] S. Vega-Pons and J. Ruiz-Shulcloper,</w:t>
      </w:r>
      <w:r>
        <w:t xml:space="preserve"> </w:t>
      </w:r>
      <w:r>
        <w:t xml:space="preserve">“A survey of clustering ensemble algorithms”</w:t>
      </w:r>
      <w:r>
        <w:t xml:space="preserve">,</w:t>
      </w:r>
      <w:r>
        <w:t xml:space="preserve"> </w:t>
      </w:r>
      <w:r>
        <w:rPr>
          <w:i/>
          <w:iCs/>
        </w:rPr>
        <w:t xml:space="preserve">Int. J. Pattern Recognit. Artif. Intell.</w:t>
      </w:r>
      <w:r>
        <w:t xml:space="preserve">, Vol. 25, No. 3, pp. 337-372, 2011.</w:t>
      </w:r>
    </w:p>
    <w:p>
      <w:pPr>
        <w:pStyle w:val="BodyText"/>
        <w:spacing w:before="0" w:after="0" w:line="240" w:lineRule="auto"/>
        <w:ind w:hanging="360" w:left="360"/>
        <w:jc w:val="both"/>
      </w:pPr>
      <w:r>
        <w:t xml:space="preserve">[21] L. Hubert and P. Arabie,</w:t>
      </w:r>
      <w:r>
        <w:t xml:space="preserve"> </w:t>
      </w:r>
      <w:r>
        <w:t xml:space="preserve">“Comparing partitions”</w:t>
      </w:r>
      <w:r>
        <w:t xml:space="preserve">,</w:t>
      </w:r>
      <w:r>
        <w:t xml:space="preserve"> </w:t>
      </w:r>
      <w:r>
        <w:rPr>
          <w:i/>
          <w:iCs/>
        </w:rPr>
        <w:t xml:space="preserve">J. Classification</w:t>
      </w:r>
      <w:r>
        <w:t xml:space="preserve">, Vol. 2, No. 1, pp. 193-218, 1985.</w:t>
      </w:r>
    </w:p>
    <w:p>
      <w:pPr>
        <w:pStyle w:val="BodyText"/>
        <w:spacing w:before="0" w:after="0" w:line="240" w:lineRule="auto"/>
        <w:ind w:hanging="360" w:left="360"/>
        <w:jc w:val="both"/>
      </w:pPr>
      <w:r>
        <w:t xml:space="preserve">[22] Y. Yang, D. Xu, F. Nie, S. Yan, and Y. Zhuang,</w:t>
      </w:r>
      <w:r>
        <w:t xml:space="preserve"> </w:t>
      </w:r>
      <w:r>
        <w:t xml:space="preserve">“Image clustering using local discriminant models and global integration”</w:t>
      </w:r>
      <w:r>
        <w:t xml:space="preserve">,</w:t>
      </w:r>
      <w:r>
        <w:t xml:space="preserve"> </w:t>
      </w:r>
      <w:r>
        <w:rPr>
          <w:i/>
          <w:iCs/>
        </w:rPr>
        <w:t xml:space="preserve">IEEE Trans. Image Process.</w:t>
      </w:r>
      <w:r>
        <w:t xml:space="preserve">, Vol. 19, No. 10, pp. 2761-2773, 2010.</w:t>
      </w:r>
    </w:p>
    <w:p>
      <w:pPr>
        <w:pStyle w:val="BodyText"/>
        <w:spacing w:before="0" w:after="0" w:line="240" w:lineRule="auto"/>
        <w:ind w:hanging="360" w:left="360"/>
        <w:jc w:val="both"/>
      </w:pPr>
      <w:r>
        <w:t xml:space="preserve">[23] S. Das, A. Abraham, and A. Konar,</w:t>
      </w:r>
      <w:r>
        <w:t xml:space="preserve"> </w:t>
      </w:r>
      <w:r>
        <w:t xml:space="preserve">“Automatic clustering using an improved differential evolution algorithm”</w:t>
      </w:r>
      <w:r>
        <w:t xml:space="preserve">,</w:t>
      </w:r>
      <w:r>
        <w:t xml:space="preserve"> </w:t>
      </w:r>
      <w:r>
        <w:rPr>
          <w:i/>
          <w:iCs/>
        </w:rPr>
        <w:t xml:space="preserve">IEEE Trans. Syst., Man, Cybern. A</w:t>
      </w:r>
      <w:r>
        <w:t xml:space="preserve">, Vol. 38, No. 1, pp. 218-237, 2008.</w:t>
      </w:r>
    </w:p>
    <w:p>
      <w:pPr>
        <w:pStyle w:val="BodyText"/>
        <w:spacing w:before="0" w:after="0" w:line="240" w:lineRule="auto"/>
        <w:ind w:hanging="360" w:left="360"/>
        <w:jc w:val="both"/>
      </w:pPr>
      <w:r>
        <w:t xml:space="preserve">[24] E. Becht</w:t>
      </w:r>
      <w:r>
        <w:t xml:space="preserve"> </w:t>
      </w:r>
      <w:r>
        <w:rPr>
          <w:i/>
          <w:iCs/>
        </w:rPr>
        <w:t xml:space="preserve">et al.</w:t>
      </w:r>
      <w:r>
        <w:t xml:space="preserve">,</w:t>
      </w:r>
      <w:r>
        <w:t xml:space="preserve"> </w:t>
      </w:r>
      <w:r>
        <w:t xml:space="preserve">“Dimensionality reduction for visualizing single-cell data using UMAP”</w:t>
      </w:r>
      <w:r>
        <w:t xml:space="preserve">,</w:t>
      </w:r>
      <w:r>
        <w:t xml:space="preserve"> </w:t>
      </w:r>
      <w:r>
        <w:rPr>
          <w:i/>
          <w:iCs/>
        </w:rPr>
        <w:t xml:space="preserve">Nature Biotechnology</w:t>
      </w:r>
      <w:r>
        <w:t xml:space="preserve">, Vol. 37, pp. 38-44, 2019.</w:t>
      </w:r>
    </w:p>
    <w:p>
      <w:pPr>
        <w:pStyle w:val="BodyText"/>
        <w:spacing w:before="0" w:after="0" w:line="240" w:lineRule="auto"/>
        <w:ind w:hanging="360" w:left="360"/>
        <w:jc w:val="both"/>
      </w:pPr>
      <w:r>
        <w:t xml:space="preserve">[25] M. R. Brito, E. L. Chávez, A. J. Quiroz, and J. E. Yukich,</w:t>
      </w:r>
      <w:r>
        <w:t xml:space="preserve"> </w:t>
      </w:r>
      <w:r>
        <w:t xml:space="preserve">“Connectivity of the mutual</w:t>
      </w:r>
      <w:r>
        <w:t xml:space="preserve"> </w:t>
      </w:r>
      <m:oMath>
        <m:r>
          <m:t>k</m:t>
        </m:r>
      </m:oMath>
      <w:r>
        <w:t xml:space="preserve">-nearest-neighbor graph in clustering and outlier detection”</w:t>
      </w:r>
      <w:r>
        <w:t xml:space="preserve">,</w:t>
      </w:r>
      <w:r>
        <w:t xml:space="preserve"> </w:t>
      </w:r>
      <w:r>
        <w:rPr>
          <w:i/>
          <w:iCs/>
        </w:rPr>
        <w:t xml:space="preserve">Statistics &amp; Probability Letters</w:t>
      </w:r>
      <w:r>
        <w:t xml:space="preserve">, Vol. 35, No. 1, pp. 33-42, 1997.</w:t>
      </w:r>
    </w:p>
    <w:p>
      <w:pPr>
        <w:pStyle w:val="BodyText"/>
        <w:spacing w:before="0" w:after="0" w:line="240" w:lineRule="auto"/>
        <w:ind w:hanging="360" w:left="360"/>
        <w:jc w:val="both"/>
      </w:pPr>
      <w:r>
        <w:t xml:space="preserve">[26] V. Satuluri, S. Parthasarathy, and D. Ruan,</w:t>
      </w:r>
      <w:r>
        <w:t xml:space="preserve"> </w:t>
      </w:r>
      <w:r>
        <w:t xml:space="preserve">“Local graph sparsification for scalable clustering”</w:t>
      </w:r>
      <w:r>
        <w:t xml:space="preserve">, in</w:t>
      </w:r>
      <w:r>
        <w:t xml:space="preserve"> </w:t>
      </w:r>
      <w:r>
        <w:rPr>
          <w:i/>
          <w:iCs/>
        </w:rPr>
        <w:t xml:space="preserve">Proc. ACM SIGMOD</w:t>
      </w:r>
      <w:r>
        <w:t xml:space="preserve">, 2011, pp. 721-732.</w:t>
      </w:r>
    </w:p>
    <w:p>
      <w:pPr>
        <w:pStyle w:val="BodyText"/>
        <w:spacing w:before="0" w:after="0" w:line="240" w:lineRule="auto"/>
        <w:ind w:hanging="360" w:left="360"/>
        <w:jc w:val="both"/>
      </w:pPr>
      <w:r>
        <w:t xml:space="preserve">[27] J. Xie, R. Girshick, and A. Farhadi,</w:t>
      </w:r>
      <w:r>
        <w:t xml:space="preserve"> </w:t>
      </w:r>
      <w:r>
        <w:t xml:space="preserve">“Unsupervised deep embedding for clustering analysis”</w:t>
      </w:r>
      <w:r>
        <w:t xml:space="preserve">, in</w:t>
      </w:r>
      <w:r>
        <w:t xml:space="preserve"> </w:t>
      </w:r>
      <w:r>
        <w:rPr>
          <w:i/>
          <w:iCs/>
        </w:rPr>
        <w:t xml:space="preserve">Proc. ICML</w:t>
      </w:r>
      <w:r>
        <w:t xml:space="preserve">, 2016, pp. 478-487.</w:t>
      </w:r>
    </w:p>
    <w:p>
      <w:pPr>
        <w:pStyle w:val="BodyText"/>
        <w:spacing w:before="0" w:after="0" w:line="240" w:lineRule="auto"/>
        <w:ind w:hanging="360" w:left="360"/>
        <w:jc w:val="both"/>
      </w:pPr>
      <w:r>
        <w:t xml:space="preserve">[28] R. McConville, R. Santos-Rodriguez, R. J. Piechocki, and I. Craddock,</w:t>
      </w:r>
      <w:r>
        <w:t xml:space="preserve"> </w:t>
      </w:r>
      <w:r>
        <w:t xml:space="preserve">“N2D: (Not too) deep clustering via clustering the local manifold of an autoencoded embedding”</w:t>
      </w:r>
      <w:r>
        <w:t xml:space="preserve">, in</w:t>
      </w:r>
      <w:r>
        <w:t xml:space="preserve"> </w:t>
      </w:r>
      <w:r>
        <w:rPr>
          <w:i/>
          <w:iCs/>
        </w:rPr>
        <w:t xml:space="preserve">Proc. ICPR</w:t>
      </w:r>
      <w:r>
        <w:t xml:space="preserve">, 2021, pp. 5145-5152.</w:t>
      </w:r>
    </w:p>
    <w:p>
      <w:pPr>
        <w:pStyle w:val="BodyText"/>
        <w:spacing w:before="0" w:after="0" w:line="240" w:lineRule="auto"/>
        <w:ind w:hanging="360" w:left="360"/>
        <w:jc w:val="both"/>
      </w:pPr>
      <w:r>
        <w:t xml:space="preserve">[29] X. Guo, L. Gao, X. Liu, and J. Yin,</w:t>
      </w:r>
      <w:r>
        <w:t xml:space="preserve"> </w:t>
      </w:r>
      <w:r>
        <w:t xml:space="preserve">“Improved deep embedded clustering with local structure preservation”</w:t>
      </w:r>
      <w:r>
        <w:t xml:space="preserve">, in</w:t>
      </w:r>
      <w:r>
        <w:t xml:space="preserve"> </w:t>
      </w:r>
      <w:r>
        <w:rPr>
          <w:i/>
          <w:iCs/>
        </w:rPr>
        <w:t xml:space="preserve">Proc. IJCAI</w:t>
      </w:r>
      <w:r>
        <w:t xml:space="preserve">, 2017, pp. 1753-1759.</w:t>
      </w:r>
    </w:p>
    <w:p>
      <w:pPr>
        <w:pStyle w:val="BodyText"/>
        <w:spacing w:before="0" w:after="0" w:line="240" w:lineRule="auto"/>
        <w:ind w:hanging="360" w:left="360"/>
        <w:jc w:val="both"/>
      </w:pPr>
      <w:r>
        <w:t xml:space="preserve">[30] B. Yang, X. Fu, N. D. Sidiropoulos, and M. Hong,</w:t>
      </w:r>
      <w:r>
        <w:t xml:space="preserve"> </w:t>
      </w:r>
      <w:r>
        <w:t xml:space="preserve">“Towards K-means-friendly spaces: Simultaneous deep learning and clustering”</w:t>
      </w:r>
      <w:r>
        <w:t xml:space="preserve">, in</w:t>
      </w:r>
      <w:r>
        <w:t xml:space="preserve"> </w:t>
      </w:r>
      <w:r>
        <w:rPr>
          <w:i/>
          <w:iCs/>
        </w:rPr>
        <w:t xml:space="preserve">Proc. ICML</w:t>
      </w:r>
      <w:r>
        <w:t xml:space="preserve">, 2017, pp. 3861-3870.</w:t>
      </w:r>
    </w:p>
    <w:p>
      <w:pPr>
        <w:pStyle w:val="BodyText"/>
        <w:spacing w:before="0" w:after="0" w:line="240" w:lineRule="auto"/>
        <w:ind w:hanging="360" w:left="360"/>
        <w:jc w:val="both"/>
      </w:pPr>
      <w:r>
        <w:t xml:space="preserve">[31] K. V. Mardia, J. T. Kent, and J. M. Bibby,</w:t>
      </w:r>
      <w:r>
        <w:t xml:space="preserve"> </w:t>
      </w:r>
      <w:r>
        <w:rPr>
          <w:i/>
          <w:iCs/>
        </w:rPr>
        <w:t xml:space="preserve">Multivariate Analysis</w:t>
      </w:r>
      <w:r>
        <w:t xml:space="preserve">. Academic Press, 1979.</w:t>
      </w:r>
    </w:p>
    <w:p>
      <w:pPr>
        <w:pStyle w:val="BodyText"/>
        <w:spacing w:before="0" w:after="0" w:line="240" w:lineRule="auto"/>
        <w:ind w:hanging="360" w:left="360"/>
        <w:jc w:val="both"/>
      </w:pPr>
      <w:r>
        <w:t xml:space="preserve">[32] K. Beyer, J. Goldstein, R. Ramakrishnan, and U. Shaft,</w:t>
      </w:r>
      <w:r>
        <w:t xml:space="preserve"> </w:t>
      </w:r>
      <w:r>
        <w:t xml:space="preserve">“When is</w:t>
      </w:r>
      <w:r>
        <w:t xml:space="preserve"> </w:t>
      </w:r>
      <w:r>
        <w:t xml:space="preserve">“nearest neighbor”</w:t>
      </w:r>
      <w:r>
        <w:t xml:space="preserve"> </w:t>
      </w:r>
      <w:r>
        <w:t xml:space="preserve">meaningful?”</w:t>
      </w:r>
      <w:r>
        <w:t xml:space="preserve"> </w:t>
      </w:r>
      <w:r>
        <w:t xml:space="preserve">in</w:t>
      </w:r>
      <w:r>
        <w:t xml:space="preserve"> </w:t>
      </w:r>
      <w:r>
        <w:rPr>
          <w:i/>
          <w:iCs/>
        </w:rPr>
        <w:t xml:space="preserve">Proc. ICDT</w:t>
      </w:r>
      <w:r>
        <w:t xml:space="preserve">, 1999, pp. 217-235.</w:t>
      </w:r>
    </w:p>
    <w:p>
      <w:pPr>
        <w:pStyle w:val="BodyText"/>
        <w:spacing w:before="0" w:after="0" w:line="240" w:lineRule="auto"/>
        <w:ind w:hanging="360" w:left="360"/>
        <w:jc w:val="both"/>
      </w:pPr>
      <w:r>
        <w:t xml:space="preserve">[33] M. E. Houle, H.-P. Kriegel, P. Kröger, E. Schubert, and A. Zimek,</w:t>
      </w:r>
      <w:r>
        <w:t xml:space="preserve"> </w:t>
      </w:r>
      <w:r>
        <w:t xml:space="preserve">“Can shared-neighbor distances defeat the curse of dimensionality?”</w:t>
      </w:r>
      <w:r>
        <w:t xml:space="preserve"> </w:t>
      </w:r>
      <w:r>
        <w:t xml:space="preserve">in</w:t>
      </w:r>
      <w:r>
        <w:t xml:space="preserve"> </w:t>
      </w:r>
      <w:r>
        <w:rPr>
          <w:i/>
          <w:iCs/>
        </w:rPr>
        <w:t xml:space="preserve">Proc. SSDBM</w:t>
      </w:r>
      <w:r>
        <w:t xml:space="preserve">, 2010, pp. 482-500.</w:t>
      </w:r>
    </w:p>
    <w:p>
      <w:pPr>
        <w:pStyle w:val="BodyText"/>
        <w:spacing w:before="0" w:after="0" w:line="240" w:lineRule="auto"/>
        <w:ind w:hanging="360" w:left="360"/>
        <w:jc w:val="both"/>
      </w:pPr>
      <w:r>
        <w:t xml:space="preserve">[34] A. Ghriss and C. Monteleoni,</w:t>
      </w:r>
      <w:r>
        <w:t xml:space="preserve"> </w:t>
      </w:r>
      <w:r>
        <w:t xml:space="preserve">“Deep clustering via probabilistic ratio-cut optimization”</w:t>
      </w:r>
      <w:r>
        <w:t xml:space="preserve">, in</w:t>
      </w:r>
      <w:r>
        <w:t xml:space="preserve"> </w:t>
      </w:r>
      <w:r>
        <w:rPr>
          <w:i/>
          <w:iCs/>
        </w:rPr>
        <w:t xml:space="preserve">Proc. AISTATS</w:t>
      </w:r>
      <w:r>
        <w:t xml:space="preserve">, 2025.</w:t>
      </w:r>
    </w:p>
    <w:bookmarkEnd w:id="153"/>
    <w:sectPr>
      <w:type w:val="continuous"/>
      <w:pgSz w:w="11906" w:h="16838" w:code="9"/>
      <w:pgMar w:top="1440" w:right="1080" w:bottom="1440" w:left="1080" w:header="850" w:footer="567" w:gutter="0"/>
      <w:cols w:num="2" w:space="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Author Name is with the Affiliation, City, Country</w:t>
      </w:r>
      <w:r>
        <w:t xml:space="preserve"> </w:t>
      </w:r>
      <w:r>
        <w:t xml:space="preserve">(e-mail: email@example.com).</w:t>
      </w:r>
    </w:p>
  </w:footnote>
  <w:footnote w:id="10">
    <w:p>
      <w:pPr>
        <w:pStyle w:val="FootnoteText"/>
      </w:pPr>
      <w:r>
        <w:rPr>
          <w:rStyle w:val="FootnoteReference"/>
        </w:rPr>
        <w:footnoteRef/>
      </w:r>
      <w:r>
        <w:t xml:space="preserve"> </w:t>
      </w:r>
      <w:r>
        <w:t xml:space="preserve">Manuscript received Month Day, Year; revised Month Day, Year.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sz w:val="22"/>
    </w:rPr>
  </w:style>
  <w:style w:styleId="BodyText" w:type="paragraph">
    <w:name w:val="Body Text"/>
    <w:basedOn w:val="Normal"/>
    <w:link w:val="BodyTextChar"/>
    <w:qFormat/>
    <w:pPr>
      <w:spacing w:after="180" w:before="180"/>
    </w:pPr>
    <w:rPr>
      <w:rFonts w:ascii="Times New Roman" w:hAnsi="Times New Roman" w:cs="Times New Roman"/>
      <w:sz w:val="22"/>
    </w:rPr>
  </w:style>
  <w:style w:customStyle="1" w:styleId="FirstParagraph" w:type="paragraph">
    <w:name w:val="First Paragraph"/>
    <w:basedOn w:val="BodyText"/>
    <w:next w:val="BodyText"/>
    <w:qFormat/>
    <w:rPr>
      <w:rFonts w:ascii="Times New Roman" w:hAnsi="Times New Roman" w:cs="Times New Roman"/>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9" Type="http://schemas.openxmlformats.org/officeDocument/2006/relationships/image" Target="media/rId119.png"/><Relationship Id="rId125" Type="http://schemas.openxmlformats.org/officeDocument/2006/relationships/image" Target="media/rId125.png"/><Relationship Id="rId105" Type="http://schemas.openxmlformats.org/officeDocument/2006/relationships/image" Target="media/rId105.png"/><Relationship Id="rId93" Type="http://schemas.openxmlformats.org/officeDocument/2006/relationships/image" Target="media/rId93.png"/><Relationship Id="rId116" Type="http://schemas.openxmlformats.org/officeDocument/2006/relationships/image" Target="media/rId116.png"/><Relationship Id="rId122" Type="http://schemas.openxmlformats.org/officeDocument/2006/relationships/image" Target="media/rId122.png"/><Relationship Id="rId102" Type="http://schemas.openxmlformats.org/officeDocument/2006/relationships/image" Target="media/rId102.png"/><Relationship Id="rId90" Type="http://schemas.openxmlformats.org/officeDocument/2006/relationships/image" Target="media/rId90.png"/><Relationship Id="rId108" Type="http://schemas.openxmlformats.org/officeDocument/2006/relationships/image" Target="media/rId108.png"/><Relationship Id="rId96" Type="http://schemas.openxmlformats.org/officeDocument/2006/relationships/image" Target="media/rId96.png"/><Relationship Id="rId111" Type="http://schemas.openxmlformats.org/officeDocument/2006/relationships/image" Target="media/rId111.png"/><Relationship Id="rId99" Type="http://schemas.openxmlformats.org/officeDocument/2006/relationships/image" Target="media/rId99.png"/><Relationship Id="rId31" Type="http://schemas.openxmlformats.org/officeDocument/2006/relationships/image" Target="media/rId31.png"/><Relationship Id="rId58" Type="http://schemas.openxmlformats.org/officeDocument/2006/relationships/image" Target="media/rId58.png"/><Relationship Id="rId55" Type="http://schemas.openxmlformats.org/officeDocument/2006/relationships/image" Target="media/rId55.png"/><Relationship Id="rId64" Type="http://schemas.openxmlformats.org/officeDocument/2006/relationships/image" Target="media/rId64.png"/><Relationship Id="rId61" Type="http://schemas.openxmlformats.org/officeDocument/2006/relationships/image" Target="media/rId61.png"/><Relationship Id="rId79" Type="http://schemas.openxmlformats.org/officeDocument/2006/relationships/image" Target="media/rId79.png"/><Relationship Id="rId132" Type="http://schemas.openxmlformats.org/officeDocument/2006/relationships/image" Target="media/rId132.png"/><Relationship Id="rId83" Type="http://schemas.openxmlformats.org/officeDocument/2006/relationships/image" Target="media/rId83.png"/><Relationship Id="rId36" Type="http://schemas.openxmlformats.org/officeDocument/2006/relationships/image" Target="media/rId36.png"/><Relationship Id="rId26" Type="http://schemas.openxmlformats.org/officeDocument/2006/relationships/image" Target="media/rId26.png"/><Relationship Id="rId41" Type="http://schemas.openxmlformats.org/officeDocument/2006/relationships/image" Target="media/rId41.png"/><Relationship Id="rId21" Type="http://schemas.openxmlformats.org/officeDocument/2006/relationships/image" Target="media/rId21.png"/><Relationship Id="rId149" Type="http://schemas.openxmlformats.org/officeDocument/2006/relationships/hyperlink" Target="https://github.com/al-shaibani-star/-DEAC" TargetMode="External"/></Relationships>
</file>

<file path=word/_rels/footnotes.xml.rels><?xml version='1.0' encoding='UTF-8' standalone='yes'?>
<Relationships xmlns="http://schemas.openxmlformats.org/package/2006/relationships"><Relationship Id="rId149" Type="http://schemas.openxmlformats.org/officeDocument/2006/relationships/hyperlink" Target="https://github.com/al-shaibani-star/-DE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DEAC: A Defensive Ensemble Framework for Automatic Graph-Based Clustering of High-Dimensional Data</dc:title>
  <dc:creator>Author Name  </dc:creator>
  <cp:keywords/>
  <dcterms:created xsi:type="dcterms:W3CDTF">2026-10-15T18:24:42Z</dcterms:created>
  <dcterms:modified xsi:type="dcterms:W3CDTF">2026-10-15T18:24:42Z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Graph-based clustering of high-dimensional data without a known cluster count conventionally returns the partition that maximizes an internal quality score such as modularity or silhouette. We show this standard practice is unsafe. Across twelve benchmarks, metaheuristically optimizing internal objectives degrades external agreement: a differential-evolution engine that maximizes modularity and silhouette attains mean ARI 0.563, below an unoptimized UMAP+Louvain baseline (0.580), because internal and external quality are only weakly correlated (silhouette–ARI rank correlation {\approx}0.08). We make this misalignment the object of study. Treating a label-aware oracle that selects the best engine per dataset as an upper bound (mean ARI 0.646), we ask how much of it any label-free rule can recover: a three-layer QualityGate reaches 0.623 (65\% of the oracle’s gain over the baseline), and across learned, stability, and consensus selectors the gap never closes (best 64\%)—evidence that it is structural, not a tuning artifact. The multi-representation SNN–Leiden ensemble the gate arbitrates (EMR-CGC, 0.631) is itself a competitive label-free method that infers the cluster count: after Holm correction it is statistically indistinguishable from strong classical baselines (KMeans, GMM, Agglomerative) and the DEC/IDEC/DCN deep methods, trailing only N2D (0.642)— so weak clustering is not the bottleneck; the inability to recognize a good partition without labels is. We package these components as DEAC (Defensive Ensemble Adaptive Clustering) and release the full per-seed results (internal scores, cluster counts, and gate decisions) with every script for verification.</vt:lpwstr>
  </property>
</Properties>
</file>