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d75aedc19075ecd2f537b9e3d433ad6b09cbc3"/>
    <w:p>
      <w:pPr>
        <w:pStyle w:val="Heading1"/>
      </w:pPr>
      <w:r>
        <w:t xml:space="preserve">Option 2 — Reframe around the negative result: prepared abstract &amp; claims</w:t>
      </w:r>
    </w:p>
    <w:p>
      <w:pPr>
        <w:pStyle w:val="FirstParagraph"/>
      </w:pPr>
      <w:r>
        <w:rPr>
          <w:b/>
          <w:bCs/>
        </w:rPr>
        <w:t xml:space="preserve">Decision locked:</w:t>
      </w:r>
      <w:r>
        <w:t xml:space="preserve"> </w:t>
      </w:r>
      <w:r>
        <w:t xml:space="preserve">the paper’s primary contribution becomes the</w:t>
      </w:r>
      <w:r>
        <w:t xml:space="preserve"> </w:t>
      </w:r>
      <w:r>
        <w:rPr>
          <w:b/>
          <w:bCs/>
        </w:rPr>
        <w:t xml:space="preserve">internal–external</w:t>
      </w:r>
      <w:r>
        <w:rPr>
          <w:b/>
          <w:bCs/>
        </w:rPr>
        <w:t xml:space="preserve"> </w:t>
      </w:r>
      <w:r>
        <w:rPr>
          <w:b/>
          <w:bCs/>
        </w:rPr>
        <w:t xml:space="preserve">misalignment finding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oracle–deployable gap</w:t>
      </w:r>
      <w:r>
        <w:t xml:space="preserve">, demonstrated rigorously.</w:t>
      </w:r>
      <w:r>
        <w:t xml:space="preserve"> </w:t>
      </w:r>
      <w:r>
        <w:t xml:space="preserve">The method (EMR-CGC ensemble + QualityGate) is the vehicle/evidence, not the hero.</w:t>
      </w:r>
      <w:r>
        <w:t xml:space="preserve"> </w:t>
      </w:r>
      <w:r>
        <w:t xml:space="preserve">All numbers below are from the</w:t>
      </w:r>
      <w:r>
        <w:t xml:space="preserve"> </w:t>
      </w:r>
      <w:r>
        <w:rPr>
          <w:b/>
          <w:bCs/>
        </w:rPr>
        <w:t xml:space="preserve">validated canonical run</w:t>
      </w:r>
      <w:r>
        <w:t xml:space="preserve"> </w:t>
      </w:r>
      <w:r>
        <w:t xml:space="preserve">(5 seeds, full data).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your approval. Nothing in the manuscript is changed yet.</w:t>
      </w:r>
    </w:p>
    <w:p>
      <w:r>
        <w:pict>
          <v:rect style="width:0;height:1.5pt" o:hralign="center" o:hrstd="t" o:hr="t"/>
        </w:pict>
      </w:r>
    </w:p>
    <w:bookmarkStart w:id="9" w:name="canonical-numbers-these-claims-rest-on"/>
    <w:p>
      <w:pPr>
        <w:pStyle w:val="Heading2"/>
      </w:pPr>
      <w:r>
        <w:t xml:space="preserve">Canonical numbers these claims rest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(UMAP+Louvain)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AMR-DE (optimizes internal metrics)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0.563</w:t>
            </w:r>
            <w:r>
              <w:t xml:space="preserve"> </w:t>
            </w:r>
            <w:r>
              <w:t xml:space="preserve">(below 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EMR-CGC (label-free ensemble)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Deployable QualityGate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(label-selected upper bound)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gain recovered — gate / EMR-CGC / best learned selector</w:t>
            </w:r>
          </w:p>
        </w:tc>
        <w:tc>
          <w:tcPr/>
          <w:p>
            <w:pPr>
              <w:pStyle w:val="Compact"/>
            </w:pPr>
            <w:r>
              <w:t xml:space="preserve">65% / 77% / 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Deployable vs comparators (Holm)</w:t>
            </w:r>
          </w:p>
        </w:tc>
        <w:tc>
          <w:tcPr/>
          <w:p>
            <w:pPr>
              <w:pStyle w:val="Compact"/>
            </w:pPr>
            <w:r>
              <w:t xml:space="preserve">beats only Spectral, HDBSCAN; tied with KMeans, GMM, Agg, DEC, IDEC, DCN; trails</w:t>
            </w:r>
            <w:r>
              <w:t xml:space="preserve"> </w:t>
            </w:r>
            <w:r>
              <w:rPr>
                <w:b/>
                <w:bCs/>
              </w:rPr>
              <w:t xml:space="preserve">N2D (0.642)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Silhouette–ARI rank correlation (Phase-0)</w:t>
            </w:r>
          </w:p>
        </w:tc>
        <w:tc>
          <w:tcPr/>
          <w:p>
            <w:pPr>
              <w:pStyle w:val="Compact"/>
            </w:pPr>
            <w:r>
              <w:t xml:space="preserve">≈ 0.08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new-abstract-full-replacement"/>
    <w:p>
      <w:pPr>
        <w:pStyle w:val="Heading2"/>
      </w:pPr>
      <w:r>
        <w:t xml:space="preserve">1. New abstract (full replacement)</w:t>
      </w:r>
    </w:p>
    <w:p>
      <w:pPr>
        <w:pStyle w:val="BlockText"/>
      </w:pPr>
      <w:r>
        <w:t xml:space="preserve">Graph-based clustering of high-dimensional data without a known cluster count</w:t>
      </w:r>
      <w:r>
        <w:t xml:space="preserve"> </w:t>
      </w:r>
      <w:r>
        <w:t xml:space="preserve">conventionally returns the partition that maximizes an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quality score</w:t>
      </w:r>
      <w:r>
        <w:t xml:space="preserve"> </w:t>
      </w:r>
      <w:r>
        <w:t xml:space="preserve">such as modularity or silhouette. We show this standard practice is unsafe. Across</w:t>
      </w:r>
      <w:r>
        <w:t xml:space="preserve"> </w:t>
      </w:r>
      <w:r>
        <w:t xml:space="preserve">twelve benchmarks, metaheuristically optimizing internal objectives</w:t>
      </w:r>
      <w:r>
        <w:t xml:space="preserve"> </w:t>
      </w:r>
      <w:r>
        <w:rPr>
          <w:i/>
          <w:iCs/>
        </w:rPr>
        <w:t xml:space="preserve">degrades</w:t>
      </w:r>
      <w:r>
        <w:t xml:space="preserve"> </w:t>
      </w:r>
      <w:r>
        <w:t xml:space="preserve">external agreement: a differential-evolution engine that maximizes modularity and</w:t>
      </w:r>
      <w:r>
        <w:t xml:space="preserve"> </w:t>
      </w:r>
      <w:r>
        <w:t xml:space="preserve">silhouette attains mean ARI 0.563,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an unoptimized UMAP+Louvain baseline</w:t>
      </w:r>
      <w:r>
        <w:t xml:space="preserve"> </w:t>
      </w:r>
      <w:r>
        <w:t xml:space="preserve">(0.580), because internal and external quality are only weakly correlated</w:t>
      </w:r>
      <w:r>
        <w:t xml:space="preserve"> </w:t>
      </w:r>
      <w:r>
        <w:t xml:space="preserve">(silhouette–ARI rank correlation ≈ 0.08). We make this misalignment the object of</w:t>
      </w:r>
      <w:r>
        <w:t xml:space="preserve"> </w:t>
      </w:r>
      <w:r>
        <w:t xml:space="preserve">study rather than a footnote. Treating a label-aware oracle that selects the</w:t>
      </w:r>
      <w:r>
        <w:t xml:space="preserve"> </w:t>
      </w:r>
      <w:r>
        <w:t xml:space="preserve">best engine per dataset as an upper bound (mean ARI 0.646), we ask how much of it</w:t>
      </w:r>
      <w:r>
        <w:t xml:space="preserve"> </w:t>
      </w:r>
      <w:r>
        <w:t xml:space="preserve">any</w:t>
      </w:r>
      <w:r>
        <w:t xml:space="preserve"> </w:t>
      </w:r>
      <w:r>
        <w:rPr>
          <w:b/>
          <w:bCs/>
        </w:rPr>
        <w:t xml:space="preserve">label-free</w:t>
      </w:r>
      <w:r>
        <w:t xml:space="preserve"> </w:t>
      </w:r>
      <w:r>
        <w:t xml:space="preserve">rule can recover: a three-layer QualityGate reaches 0.623 (65%</w:t>
      </w:r>
      <w:r>
        <w:t xml:space="preserve"> </w:t>
      </w:r>
      <w:r>
        <w:t xml:space="preserve">of the oracle’s gain over the baseline), and across learned, stability-, and</w:t>
      </w:r>
      <w:r>
        <w:t xml:space="preserve"> </w:t>
      </w:r>
      <w:r>
        <w:t xml:space="preserve">consensus-based selectors the gap never closes (best 64%) — evidence that it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a tuning artifact. The ensemble the gate arbitrates (EMR-CGC,</w:t>
      </w:r>
      <w:r>
        <w:t xml:space="preserve"> </w:t>
      </w:r>
      <w:r>
        <w:t xml:space="preserve">0.631) is itself a competitive label-free method that infers the cluster count:</w:t>
      </w:r>
      <w:r>
        <w:t xml:space="preserve"> </w:t>
      </w:r>
      <w:r>
        <w:t xml:space="preserve">after Holm correction it is statistically indistinguishable from strong classical</w:t>
      </w:r>
      <w:r>
        <w:t xml:space="preserve"> </w:t>
      </w:r>
      <w:r>
        <w:t xml:space="preserve">baselines (K-Means, GMM, Agglomerative) and the DEC/IDEC/DCN deep methods, and it</w:t>
      </w:r>
      <w:r>
        <w:t xml:space="preserve"> </w:t>
      </w:r>
      <w:r>
        <w:t xml:space="preserve">trails only N2D (0.642) — so weak clustering is not the bottleneck; the inability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recognize</w:t>
      </w:r>
      <w:r>
        <w:t xml:space="preserve"> </w:t>
      </w:r>
      <w:r>
        <w:t xml:space="preserve">a good partition without labels is. We release all per-seed labels,</w:t>
      </w:r>
      <w:r>
        <w:t xml:space="preserve"> </w:t>
      </w:r>
      <w:r>
        <w:t xml:space="preserve">internal scores, and gate decisions for verification.</w:t>
      </w:r>
    </w:p>
    <w:p>
      <w:pPr>
        <w:pStyle w:val="FirstParagraph"/>
      </w:pPr>
      <w:r>
        <w:rPr>
          <w:i/>
          <w:iCs/>
        </w:rPr>
        <w:t xml:space="preserve">(~215 words. Removes the false</w:t>
      </w:r>
      <w:r>
        <w:rPr>
          <w:i/>
          <w:iCs/>
        </w:rPr>
        <w:t xml:space="preserve"> </w:t>
      </w:r>
      <w:r>
        <w:rPr>
          <w:i/>
          <w:iCs/>
        </w:rPr>
        <w:t xml:space="preserve">“outperforms all baselines / 13.1% / matches N2D”</w:t>
      </w:r>
      <w:r>
        <w:rPr>
          <w:i/>
          <w:iCs/>
        </w:rPr>
        <w:t xml:space="preserve"> </w:t>
      </w:r>
      <w:r>
        <w:rPr>
          <w:i/>
          <w:iCs/>
        </w:rPr>
        <w:t xml:space="preserve">oracle claims; leads with the diagnostic result.)</w:t>
      </w:r>
    </w:p>
    <w:p>
      <w:r>
        <w:pict>
          <v:rect style="width:0;height:1.5pt" o:hralign="center" o:hrstd="t" o:hr="t"/>
        </w:pict>
      </w:r>
    </w:p>
    <w:bookmarkEnd w:id="10"/>
    <w:bookmarkStart w:id="11" w:name="X1581c5c406fc2a1f4f9a43a67b436f5d51861d4"/>
    <w:p>
      <w:pPr>
        <w:pStyle w:val="Heading2"/>
      </w:pPr>
      <w:r>
        <w:t xml:space="preserve">2. New contributions list (replaces the current four)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rigorous internal–external misalignment result (primary).</w:t>
      </w:r>
      <w:r>
        <w:t xml:space="preserve"> </w:t>
      </w:r>
      <w:r>
        <w:t xml:space="preserve">On twelve</w:t>
      </w:r>
      <w:r>
        <w:t xml:space="preserve"> </w:t>
      </w:r>
      <w:r>
        <w:t xml:space="preserve">benchmarks, optimizing internal objectives with a metaheuristic</w:t>
      </w:r>
      <w:r>
        <w:t xml:space="preserve"> </w:t>
      </w:r>
      <w:r>
        <w:rPr>
          <w:i/>
          <w:iCs/>
        </w:rPr>
        <w:t xml:space="preserve">reduces</w:t>
      </w:r>
      <w:r>
        <w:t xml:space="preserve"> </w:t>
      </w:r>
      <w:r>
        <w:t xml:space="preserve">external</w:t>
      </w:r>
      <w:r>
        <w:t xml:space="preserve"> </w:t>
      </w:r>
      <w:r>
        <w:t xml:space="preserve">accuracy (DE engine 0.563 vs baseline 0.580 ARI); silhouette barely tracks ARI</w:t>
      </w:r>
      <w:r>
        <w:t xml:space="preserve"> </w:t>
      </w:r>
      <w:r>
        <w:t xml:space="preserve">(rank correlation ≈ 0.08). This reframes</w:t>
      </w:r>
      <w:r>
        <w:t xml:space="preserve"> </w:t>
      </w:r>
      <w:r>
        <w:t xml:space="preserve">“which partition scores best internally”</w:t>
      </w:r>
      <w:r>
        <w:t xml:space="preserve"> </w:t>
      </w:r>
      <w:r>
        <w:t xml:space="preserve">as the wrong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quantified oracle–deployable gap.</w:t>
      </w:r>
      <w:r>
        <w:t xml:space="preserve"> </w:t>
      </w:r>
      <w:r>
        <w:t xml:space="preserve">We define a label-aware oracle (0.646) as</w:t>
      </w:r>
      <w:r>
        <w:t xml:space="preserve"> </w:t>
      </w:r>
      <w:r>
        <w:t xml:space="preserve">an upper bound and measure how far label-free selection reaches: the QualityGate</w:t>
      </w:r>
      <w:r>
        <w:t xml:space="preserve"> </w:t>
      </w:r>
      <w:r>
        <w:t xml:space="preserve">recovers 65% of its gain over the baseline; across learned/stability/consensus</w:t>
      </w:r>
      <w:r>
        <w:t xml:space="preserve"> </w:t>
      </w:r>
      <w:r>
        <w:t xml:space="preserve">selectors the best is 64%. The gap resists every standard label-free approach,</w:t>
      </w:r>
      <w:r>
        <w:t xml:space="preserve"> </w:t>
      </w:r>
      <w:r>
        <w:t xml:space="preserve">indicating it is structural.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competitive label-free, cluster-count-inferring ensemble (EMR-CGC).</w:t>
      </w:r>
      <w:r>
        <w:t xml:space="preserve"> </w:t>
      </w:r>
      <w:r>
        <w:t xml:space="preserve">A</w:t>
      </w:r>
      <w:r>
        <w:t xml:space="preserve"> </w:t>
      </w:r>
      <w:r>
        <w:t xml:space="preserve">multi-representation SNN–Leiden ensemble (0.631) that is statistically on par with</w:t>
      </w:r>
      <w:r>
        <w:t xml:space="preserve"> </w:t>
      </w:r>
      <w:r>
        <w:t xml:space="preserve">strong classical and deep baselines without being given C — showing the limitation</w:t>
      </w:r>
      <w:r>
        <w:t xml:space="preserve"> </w:t>
      </w:r>
      <w:r>
        <w:t xml:space="preserve">is recognition, not clustering power.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reproducibility artifacts.</w:t>
      </w:r>
      <w:r>
        <w:t xml:space="preserve"> </w:t>
      </w:r>
      <w:r>
        <w:t xml:space="preserve">Per-seed labels, internal scores, gate</w:t>
      </w:r>
      <w:r>
        <w:t xml:space="preserve"> </w:t>
      </w:r>
      <w:r>
        <w:t xml:space="preserve">decisions, and every figure/table/test script, released to reconcile all outputs.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QualityGate</w:t>
      </w:r>
      <w:r>
        <w:t xml:space="preserve"> </w:t>
      </w:r>
      <w:r>
        <w:t xml:space="preserve">is demoted from</w:t>
      </w:r>
      <w:r>
        <w:t xml:space="preserve"> </w:t>
      </w:r>
      <w:r>
        <w:t xml:space="preserve">“the contribution”</w:t>
      </w:r>
      <w:r>
        <w:t xml:space="preserve"> </w:t>
      </w:r>
      <w:r>
        <w:t xml:space="preserve">to a studied object: a</w:t>
      </w:r>
      <w:r>
        <w:t xml:space="preserve"> </w:t>
      </w:r>
      <w:r>
        <w:t xml:space="preserve">conservative label-free arbitrator that trades a small amount of mean ARI</w:t>
      </w:r>
      <w:r>
        <w:t xml:space="preserve"> </w:t>
      </w:r>
      <w:r>
        <w:t xml:space="preserve">(0.631 → 0.623) for protection against catastrophic single-engine failures, with</w:t>
      </w:r>
      <w:r>
        <w:t xml:space="preserve"> </w:t>
      </w:r>
      <w:r>
        <w:t xml:space="preserve">documented cases where it helps and where it hurts (e.g., the Wine regression).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after-for-the-key-claim-sentences"/>
    <w:p>
      <w:pPr>
        <w:pStyle w:val="Heading2"/>
      </w:pPr>
      <w:r>
        <w:t xml:space="preserve">3. Before → After for the key claim sentences</w:t>
      </w:r>
    </w:p>
    <w:p>
      <w:pPr>
        <w:pStyle w:val="FirstParagraph"/>
      </w:pPr>
      <w:r>
        <w:rPr>
          <w:b/>
          <w:bCs/>
        </w:rPr>
        <w:t xml:space="preserve">(A) Headline / main-results sentence</w:t>
      </w:r>
      <w:r>
        <w:t xml:space="preserve"> </w:t>
      </w:r>
      <w:r>
        <w:t xml:space="preserve">- ❌ OLD:</w:t>
      </w:r>
      <w:r>
        <w:t xml:space="preserve"> </w:t>
      </w:r>
      <w:r>
        <w:t xml:space="preserve">“DEAC lifts mean ARI by 13.1% over the baseline and significantly</w:t>
      </w:r>
      <w:r>
        <w:t xml:space="preserve"> </w:t>
      </w:r>
      <w:r>
        <w:t xml:space="preserve">outperforms five classical methods on 9 of 12 datasets.”</w:t>
      </w:r>
      <w:r>
        <w:t xml:space="preserve"> </w:t>
      </w:r>
      <w:r>
        <w:t xml:space="preserve">- ✅ NEW:</w:t>
      </w:r>
      <w:r>
        <w:t xml:space="preserve"> </w:t>
      </w:r>
      <w:r>
        <w:t xml:space="preserve">“The label-aware oracle improves mean ARI from 0.580 to 0.646 (+11%), but</w:t>
      </w:r>
      <w:r>
        <w:t xml:space="preserve"> </w:t>
      </w:r>
      <w:r>
        <w:t xml:space="preserve">this upper bound is unavailable at deployment; the label-free QualityGate recovers</w:t>
      </w:r>
      <w:r>
        <w:t xml:space="preserve"> </w:t>
      </w:r>
      <w:r>
        <w:t xml:space="preserve">65% of that gain (0.623), and the ensemble alone (EMR-CGC) recovers 77% (0.631).”</w:t>
      </w:r>
    </w:p>
    <w:p>
      <w:pPr>
        <w:pStyle w:val="BodyText"/>
      </w:pPr>
      <w:r>
        <w:rPr>
          <w:b/>
          <w:bCs/>
        </w:rPr>
        <w:t xml:space="preserve">(B) Deep-clustering comparison</w:t>
      </w:r>
      <w:r>
        <w:t xml:space="preserve"> </w:t>
      </w:r>
      <w:r>
        <w:t xml:space="preserve">- ❌ OLD:</w:t>
      </w:r>
      <w:r>
        <w:t xml:space="preserve"> </w:t>
      </w:r>
      <w:r>
        <w:t xml:space="preserve">“DEAC attains the highest mean ARI (0.649 vs 0.642 for N2D) and the most</w:t>
      </w:r>
      <w:r>
        <w:t xml:space="preserve"> </w:t>
      </w:r>
      <w:r>
        <w:t xml:space="preserve">wins; parity-without-supervision.”</w:t>
      </w:r>
      <w:r>
        <w:t xml:space="preserve"> </w:t>
      </w:r>
      <w:r>
        <w:t xml:space="preserve">- ✅ NEW:</w:t>
      </w:r>
      <w:r>
        <w:t xml:space="preserve"> </w:t>
      </w:r>
      <w:r>
        <w:t xml:space="preserve">“Even the label-aware oracle only</w:t>
      </w:r>
      <w:r>
        <w:t xml:space="preserve"> </w:t>
      </w:r>
      <w:r>
        <w:rPr>
          <w:i/>
          <w:iCs/>
        </w:rPr>
        <w:t xml:space="preserve">matches</w:t>
      </w:r>
      <w:r>
        <w:t xml:space="preserve"> </w:t>
      </w:r>
      <w:r>
        <w:t xml:space="preserve">N2D (0.646 vs 0.642); the</w:t>
      </w:r>
      <w:r>
        <w:t xml:space="preserve"> </w:t>
      </w:r>
      <w:r>
        <w:t xml:space="preserve">deployable method (EMR-CGC 0.631, gate 0.623) trails N2D, losing on 7 of 12</w:t>
      </w:r>
      <w:r>
        <w:t xml:space="preserve"> </w:t>
      </w:r>
      <w:r>
        <w:t xml:space="preserve">datasets, though the difference is not significant.”</w:t>
      </w:r>
    </w:p>
    <w:p>
      <w:pPr>
        <w:pStyle w:val="BodyText"/>
      </w:pPr>
      <w:r>
        <w:rPr>
          <w:b/>
          <w:bCs/>
        </w:rPr>
        <w:t xml:space="preserve">(C) Statistical-significance claim</w:t>
      </w:r>
      <w:r>
        <w:t xml:space="preserve"> </w:t>
      </w:r>
      <w:r>
        <w:t xml:space="preserve">- ❌ OLD:</w:t>
      </w:r>
      <w:r>
        <w:t xml:space="preserve"> </w:t>
      </w:r>
      <w:r>
        <w:t xml:space="preserve">“After Holm–Bonferroni, DEAC significantly outperforms all five classical</w:t>
      </w:r>
      <w:r>
        <w:t xml:space="preserve"> </w:t>
      </w:r>
      <w:r>
        <w:t xml:space="preserve">methods and DCN; it is tied with N2D.”</w:t>
      </w:r>
      <w:r>
        <w:t xml:space="preserve"> </w:t>
      </w:r>
      <w:r>
        <w:t xml:space="preserve">- ✅ NEW:</w:t>
      </w:r>
      <w:r>
        <w:t xml:space="preserve"> </w:t>
      </w:r>
      <w:r>
        <w:t xml:space="preserve">“After Holm–Bonferroni over the nine comparisons, the deployable method</w:t>
      </w:r>
      <w:r>
        <w:t xml:space="preserve"> </w:t>
      </w:r>
      <w:r>
        <w:t xml:space="preserve">significantly exceeds only the two weakest baselines (Spectral, HDBSCAN;</w:t>
      </w:r>
      <w:r>
        <w:t xml:space="preserve"> </w:t>
      </w:r>
      <w:r>
        <w:t xml:space="preserve">p_Holm = 0.004). It is statistically indistinguishable from K-Means, GMM,</w:t>
      </w:r>
      <w:r>
        <w:t xml:space="preserve"> </w:t>
      </w:r>
      <w:r>
        <w:t xml:space="preserve">Agglomerative, DEC, IDEC, and DCN, and trails N2D. We therefore claim competitive,</w:t>
      </w:r>
      <w:r>
        <w:t xml:space="preserve"> </w:t>
      </w:r>
      <w:r>
        <w:t xml:space="preserve">not superior, performance — the paper’s contribution is diagnostic.”</w:t>
      </w:r>
    </w:p>
    <w:p>
      <w:pPr>
        <w:pStyle w:val="BodyText"/>
      </w:pPr>
      <w:r>
        <w:rPr>
          <w:b/>
          <w:bCs/>
        </w:rPr>
        <w:t xml:space="preserve">(D) Cluster-count claim</w:t>
      </w:r>
      <w:r>
        <w:t xml:space="preserve"> </w:t>
      </w:r>
      <w:r>
        <w:t xml:space="preserve">- ❌ OLD:</w:t>
      </w:r>
      <w:r>
        <w:t xml:space="preserve"> </w:t>
      </w:r>
      <w:r>
        <w:t xml:space="preserve">“DEAC attains the lowest cluster-count MAE (0.25) and highest exact-match</w:t>
      </w:r>
      <w:r>
        <w:t xml:space="preserve"> </w:t>
      </w:r>
      <w:r>
        <w:t xml:space="preserve">(10/12).”</w:t>
      </w:r>
      <w:r>
        <w:t xml:space="preserve"> </w:t>
      </w:r>
      <w:r>
        <w:t xml:space="preserve">(These were the oracle.)</w:t>
      </w:r>
      <w:r>
        <w:t xml:space="preserve"> </w:t>
      </w:r>
      <w:r>
        <w:t xml:space="preserve">- ✅ NEW:</w:t>
      </w:r>
      <w:r>
        <w:t xml:space="preserve"> </w:t>
      </w:r>
      <w:r>
        <w:t xml:space="preserve">“The deployable gate’s cluster-count error is substantial (MAE ≈ 5.8,</w:t>
      </w:r>
      <w:r>
        <w:t xml:space="preserve"> </w:t>
      </w:r>
      <w:r>
        <w:t xml:space="preserve">exact 2/12): recognizing the right granularity without labels is itself part of the</w:t>
      </w:r>
      <w:r>
        <w:t xml:space="preserve"> </w:t>
      </w:r>
      <w:r>
        <w:t xml:space="preserve">misalignment, not a solved sub-problem.”</w:t>
      </w:r>
    </w:p>
    <w:p>
      <w:pPr>
        <w:pStyle w:val="BodyText"/>
      </w:pPr>
      <w:r>
        <w:rPr>
          <w:b/>
          <w:bCs/>
        </w:rPr>
        <w:t xml:space="preserve">(E) Conclusion opening</w:t>
      </w:r>
      <w:r>
        <w:t xml:space="preserve"> </w:t>
      </w:r>
      <w:r>
        <w:t xml:space="preserve">- ❌ OLD:</w:t>
      </w:r>
      <w:r>
        <w:t xml:space="preserve"> </w:t>
      </w:r>
      <w:r>
        <w:t xml:space="preserve">“We presented DEAC … which significantly outperforms classical methods and</w:t>
      </w:r>
      <w:r>
        <w:t xml:space="preserve"> </w:t>
      </w:r>
      <w:r>
        <w:t xml:space="preserve">matches the strongest deep-clustering method.”</w:t>
      </w:r>
      <w:r>
        <w:t xml:space="preserve"> </w:t>
      </w:r>
      <w:r>
        <w:t xml:space="preserve">- ✅ NEW:</w:t>
      </w:r>
      <w:r>
        <w:t xml:space="preserve"> </w:t>
      </w:r>
      <w:r>
        <w:t xml:space="preserve">“We presented evidence that internal clustering metrics are an unreliable</w:t>
      </w:r>
      <w:r>
        <w:t xml:space="preserve"> </w:t>
      </w:r>
      <w:r>
        <w:t xml:space="preserve">proxy for external accuracy, and a characterization of how far label-free selection</w:t>
      </w:r>
      <w:r>
        <w:t xml:space="preserve"> </w:t>
      </w:r>
      <w:r>
        <w:t xml:space="preserve">can close the resulting oracle–deployable gap. A competitive label-free ensemble</w:t>
      </w:r>
      <w:r>
        <w:t xml:space="preserve"> </w:t>
      </w:r>
      <w:r>
        <w:t xml:space="preserve">(EMR-CGC) shows the bottleneck is recognition, not clustering power; closing the</w:t>
      </w:r>
      <w:r>
        <w:t xml:space="preserve"> </w:t>
      </w:r>
      <w:r>
        <w:t xml:space="preserve">residual gap plausibly requires supervision or a learned notion of external quality.”</w:t>
      </w:r>
    </w:p>
    <w:p>
      <w:r>
        <w:pict>
          <v:rect style="width:0;height:1.5pt" o:hralign="center" o:hrstd="t" o:hr="t"/>
        </w:pict>
      </w:r>
    </w:p>
    <w:bookmarkEnd w:id="12"/>
    <w:bookmarkStart w:id="13" w:name="X246a2617f1ed3e77088be3d04cd9123a086ed62"/>
    <w:p>
      <w:pPr>
        <w:pStyle w:val="Heading2"/>
      </w:pPr>
      <w:r>
        <w:t xml:space="preserve">4. Downstream edits implied (for the next step, after you approve)</w:t>
      </w:r>
    </w:p>
    <w:p>
      <w:pPr>
        <w:pStyle w:val="Compact"/>
        <w:numPr>
          <w:ilvl w:val="0"/>
          <w:numId w:val="1002"/>
        </w:numPr>
      </w:pPr>
      <w:r>
        <w:t xml:space="preserve">Replace hardcoded</w:t>
      </w:r>
      <w:r>
        <w:t xml:space="preserve"> </w:t>
      </w:r>
      <w:r>
        <w:rPr>
          <w:rStyle w:val="VerbatimChar"/>
        </w:rPr>
        <w:t xml:space="preserve">main_results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multi_metric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ablation</w:t>
      </w:r>
      <w:r>
        <w:t xml:space="preserve"> </w:t>
      </w:r>
      <w:r>
        <w:t xml:space="preserve">tables with the</w:t>
      </w:r>
      <w:r>
        <w:t xml:space="preserve"> </w:t>
      </w:r>
      <w:r>
        <w:t xml:space="preserve">canonical-generated versions (gate = DEAC; oracle as a labeled diagnostic row).</w:t>
      </w:r>
    </w:p>
    <w:p>
      <w:pPr>
        <w:pStyle w:val="Compact"/>
        <w:numPr>
          <w:ilvl w:val="0"/>
          <w:numId w:val="1002"/>
        </w:numPr>
      </w:pPr>
      <w:r>
        <w:t xml:space="preserve">Swap in the regenerated</w:t>
      </w:r>
      <w:r>
        <w:t xml:space="preserve"> </w:t>
      </w:r>
      <w:r>
        <w:rPr>
          <w:rStyle w:val="VerbatimChar"/>
        </w:rPr>
        <w:t xml:space="preserve">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gate_oracle</w:t>
      </w:r>
      <w:r>
        <w:t xml:space="preserve">, and new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(gate-based)</w:t>
      </w:r>
      <w:r>
        <w:t xml:space="preserve"> </w:t>
      </w:r>
      <w:r>
        <w:t xml:space="preserve">tables from</w:t>
      </w:r>
      <w:r>
        <w:t xml:space="preserve"> </w:t>
      </w:r>
      <w:r>
        <w:rPr>
          <w:rStyle w:val="VerbatimChar"/>
        </w:rPr>
        <w:t xml:space="preserve">paper/generated_canonical/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Regenerate the cross-dataset figures from the canonical source (removes ARI&gt;1 /</w:t>
      </w:r>
      <w:r>
        <w:t xml:space="preserve"> </w:t>
      </w:r>
      <w:r>
        <w:t xml:space="preserve">HAR / Letter; fixes Olivetti bar; separates oracle vs gate).</w:t>
      </w:r>
    </w:p>
    <w:p>
      <w:pPr>
        <w:pStyle w:val="Compact"/>
        <w:numPr>
          <w:ilvl w:val="0"/>
          <w:numId w:val="1002"/>
        </w:numPr>
      </w:pPr>
      <w:r>
        <w:t xml:space="preserve">Update §Discussion</w:t>
      </w:r>
      <w:r>
        <w:t xml:space="preserve"> </w:t>
      </w:r>
      <w:r>
        <w:t xml:space="preserve">“Why Arbitration”</w:t>
      </w:r>
      <w:r>
        <w:t xml:space="preserve"> </w:t>
      </w:r>
      <w:r>
        <w:t xml:space="preserve">to state the gate is a net −0.008 ARI vs</w:t>
      </w:r>
      <w:r>
        <w:t xml:space="preserve"> </w:t>
      </w:r>
      <w:r>
        <w:t xml:space="preserve">EMR-CGC on average (safety, not accuracy).</w:t>
      </w:r>
    </w:p>
    <w:p>
      <w:pPr>
        <w:pStyle w:val="Compact"/>
        <w:numPr>
          <w:ilvl w:val="0"/>
          <w:numId w:val="1002"/>
        </w:numPr>
      </w:pPr>
      <w:r>
        <w:t xml:space="preserve">Optional title change to foreground the thesis, e.g.</w:t>
      </w:r>
      <w:r>
        <w:t xml:space="preserve"> </w:t>
      </w:r>
      <w:r>
        <w:rPr>
          <w:i/>
          <w:iCs/>
        </w:rPr>
        <w:t xml:space="preserve">“When Internal Metrics Mislead: The Oracle–Deployable Gap in Automatic Graph-Based</w:t>
      </w:r>
      <w:r>
        <w:rPr>
          <w:i/>
          <w:iCs/>
        </w:rPr>
        <w:t xml:space="preserve"> </w:t>
      </w:r>
      <w:r>
        <w:rPr>
          <w:i/>
          <w:iCs/>
        </w:rPr>
        <w:t xml:space="preserve">Clustering.”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from validated canonical data. On approval, I apply (A)–(E) to the LaTeX,</w:t>
      </w:r>
      <w:r>
        <w:rPr>
          <w:i/>
          <w:iCs/>
        </w:rPr>
        <w:t xml:space="preserve"> </w:t>
      </w:r>
      <w:r>
        <w:rPr>
          <w:i/>
          <w:iCs/>
        </w:rPr>
        <w:t xml:space="preserve">wire in the canonical tables/figures, regenerate stats on the gate, and recompile.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2026-10-11T21:57:48Z</dcterms:created>
  <dcterms:modified xsi:type="dcterms:W3CDTF">2026-10-11T21:57:48Z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