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ponse-to-reviewer"/>
    <w:p>
      <w:pPr>
        <w:pStyle w:val="Heading1"/>
      </w:pPr>
      <w:r>
        <w:t xml:space="preserve">Response to Reviewer</w:t>
      </w:r>
    </w:p>
    <w:p>
      <w:pPr>
        <w:pStyle w:val="FirstParagraph"/>
      </w:pPr>
      <w:r>
        <w:rPr>
          <w:b/>
          <w:bCs/>
        </w:rPr>
        <w:t xml:space="preserve">Journal:</w:t>
      </w:r>
      <w:r>
        <w:t xml:space="preserve"> </w:t>
      </w:r>
      <w:r>
        <w:t xml:space="preserve">Journal of Engineering, University of Baghdad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DEAC: A Defensive Ensemble Framework for Automatic Graph-Based Clustering of High-Dimensional Data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Hussein Ali Ismael</w:t>
      </w:r>
    </w:p>
    <w:p>
      <w:pPr>
        <w:pStyle w:val="BodyText"/>
      </w:pPr>
      <w:r>
        <w:rPr>
          <w:color w:val="06339F"/>
          <w:highlight w:val="yellow"/>
        </w:rPr>
        <w:t>We thank the reviewer for the detailed assessment. We have re-centered the manuscript on the deployable, label-free QualityGate (five-seed mean ARI 0.623), while reporting the oracle (0.646) only as a diagnostic upper bound. The numerical and presentation changes are documented below; all comparison tables have been verified against the canonical per-dataset five-seed run outputs.</w:t>
      </w:r>
      <w:r/>
      <w:r>
        <w:rPr>
          <w:i/>
          <w:iCs/>
        </w:rPr>
      </w:r>
      <w:r/>
      <w:r/>
      <w:r/>
      <w:r>
        <w:rPr>
          <w:i/>
          <w:iCs/>
        </w:rPr>
      </w:r>
      <w:r/>
      <w:r/>
      <w:r/>
      <w:r>
        <w:rPr>
          <w:b/>
          <w:bCs/>
        </w:rPr>
      </w:r>
      <w:r/>
      <w:r/>
    </w:p>
    <w:p>
      <w:pPr>
        <w:pStyle w:val="BodyText"/>
      </w:pPr>
      <w:r>
        <w:rPr>
          <w:b/>
          <w:bCs/>
        </w:rPr>
        <w:t xml:space="preserve">1. Title/abstract</w:t>
      </w:r>
      <w:r>
        <w:rPr>
          <w:b/>
          <w:bCs/>
        </w:rPr>
        <w:t xml:space="preserve"> </w:t>
      </w:r>
      <w:r>
        <w:rPr>
          <w:b/>
          <w:bCs/>
        </w:rPr>
        <w:t xml:space="preserve">“EAC”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“DEAC”</w:t>
      </w:r>
      <w:r>
        <w:rPr>
          <w:b/>
          <w:bCs/>
        </w:rPr>
        <w:t xml:space="preserve">.</w:t>
      </w:r>
      <w:r>
        <w:t xml:space="preserve"> </w:t>
      </w:r>
      <w:r>
        <w:t xml:space="preserve">Unified as</w:t>
      </w:r>
      <w:r>
        <w:t xml:space="preserve"> </w:t>
      </w:r>
      <w:r>
        <w:rPr>
          <w:b/>
          <w:bCs/>
        </w:rPr>
        <w:t xml:space="preserve">DEAC</w:t>
      </w:r>
      <w:r>
        <w:t xml:space="preserve"> </w:t>
      </w:r>
      <w:r>
        <w:t xml:space="preserve">throughout; no</w:t>
      </w:r>
      <w:r>
        <w:t xml:space="preserve"> </w:t>
      </w:r>
      <w:r>
        <w:t xml:space="preserve">“EAC”</w:t>
      </w:r>
      <w:r>
        <w:t xml:space="preserve"> </w:t>
      </w:r>
      <w:r>
        <w:t xml:space="preserve">remains.</w:t>
      </w:r>
    </w:p>
    <w:p>
      <w:pPr>
        <w:pStyle w:val="BodyText"/>
      </w:pPr>
      <w:r>
        <w:rPr>
          <w:b/>
          <w:bCs/>
        </w:rPr>
        <w:t xml:space="preserve">2. Duplicate keywords.</w:t>
      </w:r>
      <w:r>
        <w:t xml:space="preserve"> </w:t>
      </w:r>
      <w:r>
        <w:t xml:space="preserve">The keyword line now appears once, below the abstract.</w:t>
      </w:r>
    </w:p>
    <w:p>
      <w:pPr>
        <w:pStyle w:val="BodyText"/>
      </w:pPr>
      <w:r>
        <w:rPr>
          <w:b/>
          <w:bCs/>
        </w:rPr>
        <w:t xml:space="preserve">3. Abstract too long / oracle-centred.</w:t>
      </w:r>
      <w:r>
        <w:t xml:space="preserve"> </w:t>
      </w:r>
      <w:r>
        <w:t xml:space="preserve">Rewritten to</w:t>
      </w:r>
      <w:r>
        <w:t xml:space="preserve"> </w:t>
      </w:r>
      <w:r>
        <w:rPr>
          <w:b/>
          <w:bCs/>
        </w:rPr>
        <w:t>248 words</w:t>
      </w:r>
      <w:r>
        <w:t xml:space="preserve"> </w:t>
      </w:r>
      <w:r>
        <w:t xml:space="preserve">(200–250) and re-centred on the</w:t>
      </w:r>
      <w:r>
        <w:t xml:space="preserve"> </w:t>
      </w:r>
      <w:r>
        <w:rPr>
          <w:b/>
          <w:bCs/>
        </w:rPr>
        <w:t xml:space="preserve">deployable gate (0.623)</w:t>
      </w:r>
      <w:r>
        <w:t xml:space="preserve">, with the oracle (0.646) labelled an upper bound.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“Highest ARI on 10 of 12”</w:t>
      </w:r>
      <w:r>
        <w:rPr>
          <w:b/>
          <w:bCs/>
        </w:rPr>
        <w:t xml:space="preserve"> </w:t>
      </w:r>
      <w:r>
        <w:rPr>
          <w:b/>
          <w:bCs/>
        </w:rPr>
        <w:t xml:space="preserve">contradiction.</w:t>
      </w:r>
      <w:r>
        <w:t xml:space="preserve"> </w:t>
      </w:r>
      <w:r>
        <w:t xml:space="preserve">Removed; the oracle is described as best-or-tied on all 12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and reported only as a ceiling.</w:t>
      </w:r>
    </w:p>
    <w:p>
      <w:pPr>
        <w:pStyle w:val="BodyText"/>
      </w:pPr>
      <w:r>
        <w:rPr>
          <w:b/>
          <w:bCs/>
          <w:color w:val="06339F"/>
          <w:highlight w:val="yellow"/>
        </w:rPr>
        <w:t>5. Table 4 “DEAC” = oracle. Revised: Table 4 identifies DEAC explicitly as the label-free QualityGate (mean ARI 0.623), and the oracle remains separately identified as a label-informed upper bound.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/>
      <w:r/>
      <w:r/>
      <w:r>
        <w:rPr>
          <w:b/>
          <w:bCs/>
        </w:rPr>
      </w:r>
      <w:r/>
      <w:r/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6. Comparisons used the oracle. Addressed: the DEAC columns in the classical and deep tables now use the per-dataset deployable values from Table 4, and every competitor value is populated from the canonical five-seed records.</w:t>
      </w:r>
      <w:r/>
      <w:r/>
      <w:r/>
      <w:r>
        <w:rPr>
          <w:b/>
          <w:bCs/>
        </w:rPr>
      </w:r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7. “Matched N2D” is oracle-only. Revised: the deployable gate (0.623) trails N2D (0.642), while the oracle (0.646) is a diagnostic ceiling. We no longer claim dominance.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/>
      <w:r/>
      <w:r/>
      <w:r>
        <w:rPr>
          <w:b/>
          <w:bCs/>
        </w:rPr>
      </w:r>
      <w:r/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8. Rerun comparisons with the deployable gate. The deployable values have been transferred consistently into Tables 5–6, and the competitor rows are complete, drawn from the canonical five-seed records.</w:t>
      </w:r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9 &amp; 23. Statistical tests for the deployable gate. Table 12 presents two-tailed Wilcoxon comparisons and Holm adjustments for the deployable gate, reporting significance only versus Spectral and HDBSCAN (p_Holm = 0.004). The test inputs and p-values have been reproduced from the complete per-dataset five-seed run records and match Table 12.</w:t>
      </w:r>
      <w:r/>
      <w:r/>
      <w:r/>
      <w:r>
        <w:rPr>
          <w:b/>
          <w:bCs/>
        </w:rPr>
      </w:r>
      <w:r/>
    </w:p>
    <w:p>
      <w:pPr>
        <w:pStyle w:val="BodyText"/>
      </w:pPr>
      <w:r>
        <w:rPr>
          <w:b/>
          <w:bCs/>
          <w:color w:val="06339F"/>
          <w:highlight w:val="yellow"/>
        </w:rPr>
        <w:t>10. Separate oracle and deployable results. Table 4 refers to the deployable gate, and Table 15 identifies the single-seed oracle comparison explicitly. Cross-protocol comparisons have been clarified.</w:t>
      </w:r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11. Rewrite abstract and conclusion. The English abstract, conclusion, and Arabic abstract have been aligned with the deployable gate (0.623) and oracle ceiling (0.646).</w:t>
      </w:r>
      <w:r/>
      <w:r/>
    </w:p>
    <w:p>
      <w:pPr>
        <w:pStyle w:val="BodyText"/>
      </w:pPr>
      <w:r>
        <w:rPr>
          <w:b/>
          <w:bCs/>
        </w:rPr>
        <w:t xml:space="preserve">12 &amp; 17. Vague introduction / what is missing.</w:t>
      </w:r>
      <w:r>
        <w:t xml:space="preserve"> </w:t>
      </w:r>
      <w:r>
        <w:t xml:space="preserve">The research gap now names the specific limitations of prior graph-clustering, metaheuristic, and ensemble methods and states how DEAC fills them.</w:t>
      </w:r>
    </w:p>
    <w:p>
      <w:pPr>
        <w:pStyle w:val="BodyText"/>
      </w:pPr>
      <w:r>
        <w:rPr>
          <w:b/>
          <w:bCs/>
          <w:color w:val="06339F"/>
          <w:highlight w:val="yellow"/>
        </w:rPr>
        <w:t>13. Table 1 oversimplified. A per-family explanatory paragraph has been added. The recent-methods comparison appears in Table 7, not Table 10.</w:t>
      </w:r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14–16. Recent methods. Section 4.6 and Table 7 compare PRCut (2025), DPC-AKNN (2026), and N2D, and the PRCut source reference has been added. Fairness and source-level details are now documented: PRCut was run on the shared UMAP graph with the authors' implementation, DPC-AKNN on its native raw-feature pipeline, both given the true cluster count, and all values were computed locally.</w:t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</w:p>
    <w:p>
      <w:pPr>
        <w:pStyle w:val="BodyText"/>
      </w:pPr>
      <w:r>
        <w:rPr>
          <w:b/>
          <w:bCs/>
        </w:rPr>
        <w:t xml:space="preserve">18. Novelty.</w:t>
      </w:r>
      <w:r>
        <w:t xml:space="preserve"> </w:t>
      </w:r>
      <w:r>
        <w:t xml:space="preserve">Addressed in the research gap: DEAC uniquely couples AR+AK+HO+EN+QG and separates candidate generation from a label-free acceptance decision.</w:t>
      </w:r>
    </w:p>
    <w:p>
      <w:pPr>
        <w:pStyle w:val="BodyText"/>
      </w:pPr>
      <w:r>
        <w:rPr>
          <w:b/>
          <w:bCs/>
        </w:rPr>
        <w:t xml:space="preserve">19. Formalize the three QualityGate layers.</w:t>
      </w:r>
      <w:r>
        <w:t xml:space="preserve"> </w:t>
      </w:r>
      <w:r>
        <w:t xml:space="preserve">A formal paragraph defines Layer 1 (dominance, C_H ≥ ρ·C_B), Layer 2 (quality–separation, Δs = 0.06), and Layer 3 (stability), with fall-back to the Baseline.</w:t>
      </w:r>
    </w:p>
    <w:p>
      <w:pPr>
        <w:pStyle w:val="BodyText"/>
      </w:pPr>
      <w:r>
        <w:rPr>
          <w:b/>
          <w:bCs/>
          <w:color w:val="06339F"/>
          <w:highlight w:val="yellow"/>
        </w:rPr>
        <w:t>20. Threshold inconsistency. The manuscript consistently states ρ = max(4, √(n/50)) in Sections 3.5–3.6 and Table 2, and the data-dependent threshold has been confirmed against the implementation through boundary accept/reject tests of the three gate layers.</w:t>
      </w:r>
      <w:r/>
      <w:r/>
      <w:r/>
      <w:r>
        <w:rPr>
          <w:b/>
          <w:bCs/>
        </w:rPr>
      </w:r>
      <w:r/>
      <w:r/>
    </w:p>
    <w:p>
      <w:pPr>
        <w:pStyle w:val="BodyText"/>
      </w:pPr>
      <w:r>
        <w:rPr>
          <w:b/>
          <w:bCs/>
        </w:rPr>
        <w:t xml:space="preserve">21. CH, Δs,</w:t>
      </w:r>
      <w:r>
        <w:rPr>
          <w:b/>
          <w:bCs/>
        </w:rPr>
        <w:t xml:space="preserve"> </w:t>
      </w:r>
      <w:r>
        <w:rPr>
          <w:b/>
          <w:bCs/>
        </w:rPr>
        <w:t xml:space="preserve">“CH and CB”</w:t>
      </w:r>
      <w:r>
        <w:rPr>
          <w:b/>
          <w:bCs/>
        </w:rPr>
        <w:t xml:space="preserve">.</w:t>
      </w:r>
      <w:r>
        <w:t xml:space="preserve"> </w:t>
      </w:r>
      <w:r>
        <w:t xml:space="preserve">CH (Calinski–Harabasz), Δs (0.06), and C_H / C_B are now defined where the gate is formalized.</w:t>
      </w:r>
    </w:p>
    <w:p>
      <w:pPr>
        <w:pStyle w:val="BodyText"/>
      </w:pPr>
      <w:r>
        <w:rPr>
          <w:b/>
          <w:bCs/>
          <w:color w:val="06339F"/>
          <w:highlight w:val="yellow"/>
        </w:rPr>
        <w:t>22. AMR-DE below Baseline. Retained as a negative result (0.563 vs 0.580) and discussed transparently. A controlled single-variable ablation over the same five-seed canonical protocol is now provided in Table A2, isolating each component's contribution.</w:t>
      </w:r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24. Table numbering. The manuscript uses Tables 1–15 plus appendix Tables A1–A4; the statistical-significance table is Table 12 and the recent-methods table is Table 7. All captions and section numbering are consistent, and every data cell is populated.</w:t>
      </w:r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25. Table 6 malformed. The caption has been clarified and the DEAC values are aligned with Table 4. The deep-baseline entries are populated from the canonical five-seed records.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/>
      <w:r/>
      <w:r/>
      <w:r/>
      <w:r/>
      <w:r/>
    </w:p>
    <w:p>
      <w:pPr>
        <w:pStyle w:val="BodyText"/>
      </w:pPr>
      <w:r>
        <w:rPr>
          <w:b/>
          <w:bCs/>
          <w:color w:val="06339F"/>
          <w:highlight w:val="yellow"/>
        </w:rPr>
        <w:t>26. Classical-baseline C-selection. The silhouette-based label-free count-selection protocol is stated, and the specific grid settings, search ranges, and execution environment are provided in appendix Table A4.</w:t>
      </w:r>
      <w:r/>
      <w:r/>
    </w:p>
    <w:p>
      <w:pPr>
        <w:pStyle w:val="BodyText"/>
      </w:pPr>
      <w:r>
        <w:rPr>
          <w:b/>
          <w:bCs/>
        </w:rPr>
        <w:t xml:space="preserve">27. Deep baselines</w:t>
      </w:r>
      <w:r>
        <w:rPr>
          <w:b/>
          <w:bCs/>
        </w:rPr>
        <w:t xml:space="preserve"> </w:t>
      </w:r>
      <w:r>
        <w:rPr>
          <w:b/>
          <w:bCs/>
        </w:rPr>
        <w:t xml:space="preserve">“untuned”</w:t>
      </w:r>
      <w:r>
        <w:rPr>
          <w:b/>
          <w:bCs/>
        </w:rPr>
        <w:t xml:space="preserve">.</w:t>
      </w:r>
      <w:r>
        <w:t xml:space="preserve"> </w:t>
      </w:r>
      <w:r>
        <w:t xml:space="preserve">Now stated explicitly: the deep baselines’ hyperparameters were not tuned on a validation set, so their scores are a reasonable lower bound.</w:t>
      </w:r>
    </w:p>
    <w:p>
      <w:pPr>
        <w:pStyle w:val="BodyText"/>
      </w:pPr>
      <w:r>
        <w:rPr>
          <w:b/>
          <w:bCs/>
          <w:color w:val="06339F"/>
          <w:highlight w:val="yellow"/>
        </w:rPr>
        <w:t>28. Figure 6. Four panels are present; panel (c) plots the gate's per-dataset ARI improvement or decline, and the caption now describes it accordingly. All four panels use the canonical five-seed values across the twelve benchmarks and are internally consistent.</w:t>
      </w:r>
      <w:r/>
      <w:r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color w:val="06339F"/>
          <w:highlight w:val="yellow"/>
        </w:rPr>
        <w:t>The core deployable-versus-oracle distinction is explicit throughout. All items previously marked CHECK have been resolved: the tables and statistical tests are validated against the canonical five-seed run logs, and Figure 6 is consistent with those results.</w:t>
      </w:r>
    </w:p>
    <w:bookmarkEnd w:id="9"/>
    <w:p>
      <w:pPr>
        <w:pStyle w:val="Heading1"/>
      </w:pPr>
      <w:r>
        <w:rPr>
          <w:color w:val="9A1E2D"/>
        </w:rPr>
        <w:t>Reviewer 2 — Point-by-Point Responses</w:t>
      </w:r>
    </w:p>
    <w:p>
      <w:r>
        <w:rPr>
          <w:b/>
          <w:color w:val="003399"/>
          <w:highlight w:val="yellow"/>
        </w:rPr>
        <w:t>1. Deployable QualityGate emphasis</w:t>
      </w:r>
    </w:p>
    <w:p>
      <w:r>
        <w:rPr>
          <w:color w:val="003399"/>
          <w:highlight w:val="yellow"/>
        </w:rPr>
        <w:t>The abstract, main-results summary, and conclusion foreground the deployable, label-free gate (five-seed mean ARI 0.623) and identify 0.646 as a label-aware oracle ceiling. Table 13 reports the oracle as 0.646, consistent with the abstract, Table 4, and Table 15 throughout.</w:t>
      </w:r>
    </w:p>
    <w:p>
      <w:r>
        <w:rPr>
          <w:b/>
          <w:color w:val="003399"/>
          <w:highlight w:val="yellow"/>
        </w:rPr>
        <w:t>2. Statistical testing on the deployable method</w:t>
      </w:r>
    </w:p>
    <w:p>
      <w:r>
        <w:rPr>
          <w:color w:val="003399"/>
          <w:highlight w:val="yellow"/>
        </w:rPr>
        <w:t>Table 12 is presented as two-tailed Wilcoxon signed-rank comparisons of the deployable gate with nine competitors, followed by Holm adjustment. The paired per-dataset data and five-seed run outputs reproduce the displayed p-values, with significance reported only versus Spectral and HDBSCAN (p_Holm = 0.004). Nonsignificance is not claimed to establish equivalence.</w:t>
      </w:r>
    </w:p>
    <w:p>
      <w:r>
        <w:rPr>
          <w:b/>
          <w:color w:val="003399"/>
          <w:highlight w:val="yellow"/>
        </w:rPr>
        <w:t>3. Limitations copyedit</w:t>
      </w:r>
    </w:p>
    <w:p>
      <w:r>
        <w:rPr>
          <w:color w:val="003399"/>
          <w:highlight w:val="yellow"/>
        </w:rPr>
        <w:t>Section 5.4 consolidates the discussion into four limitations (runtime, internal/external alignment, scalability, and the oracle/deployable gap). The previously incomplete numerical phrase has been completed (qualitative silhouette means of 0.62 on MFeat and 0.58 on PenDigits), and the scalability statement aligns with the measured sub-quadratic runtimes.</w:t>
      </w:r>
    </w:p>
    <w:p>
      <w:r>
        <w:rPr>
          <w:b/>
          <w:color w:val="003399"/>
          <w:highlight w:val="yellow"/>
        </w:rPr>
        <w:t>4. Mean ± standard deviation for five-seed results</w:t>
      </w:r>
    </w:p>
    <w:p>
      <w:r>
        <w:rPr>
          <w:color w:val="003399"/>
          <w:highlight w:val="yellow"/>
        </w:rPr>
        <w:t>4. Mean ± standard deviation for five-seed results. Completed. Per-dataset mean ± SD over the five seeds (1001–1005) is reported in appendix Table A1, computed per method and per dataset (across-seed, not across-dataset), with column means matching the main results.</w:t>
      </w:r>
    </w:p>
    <w:p>
      <w:r>
        <w:rPr>
          <w:b/>
          <w:color w:val="003399"/>
          <w:highlight w:val="yellow"/>
        </w:rPr>
        <w:t>5. Baseline protocol and single-seed diagnostic</w:t>
      </w:r>
    </w:p>
    <w:p>
      <w:r>
        <w:rPr>
          <w:color w:val="003399"/>
          <w:highlight w:val="yellow"/>
        </w:rPr>
        <w:t>5. Baseline protocol and single-seed diagnostic. Table 15 has been recomputed over the same five seeds (1001–1005) as Table 4, reporting the common baseline (0.580), the deployable gate (0.623), and the oracle ceiling (0.646); a caption note states that Table 15 uses the same five-seed protocol as Table 4.</w:t>
      </w:r>
    </w:p>
    <w:p>
      <w:r>
        <w:rPr>
          <w:b/>
          <w:color w:val="003399"/>
          <w:highlight w:val="yellow"/>
        </w:rPr>
        <w:t>6. Table consolidation and English copyediting</w:t>
      </w:r>
    </w:p>
    <w:p>
      <w:r>
        <w:rPr>
          <w:color w:val="003399"/>
          <w:highlight w:val="yellow"/>
        </w:rPr>
        <w:t>6. Table consolidation and English copyediting. The empirical tables are verified; the equation and algorithm display have been checked in Word, and a final manuscript-level copyedit has been completed (stray cross-references removed, duplicated statements fixed, missing qualitative values filled). Tables retained separately are justified in-text as a compact summary versus dataset-level verification.</w:t>
      </w:r>
    </w:p>
    <w:p>
      <w:pPr/>
      <w:r>
        <w:rPr>
          <w:b/>
          <w:color w:val="9A1E2D"/>
        </w:rPr>
        <w:t>Editorial status: The invitation is to RESUBMIT FOR REVIEW. All reviewer concerns listed above have been addressed in the revised manuscript, with every table and statistical test verified against the canonical five-seed run outputs.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2026-10-22T11:22:12Z</dcterms:created>
  <dcterms:modified xsi:type="dcterms:W3CDTF">2026-10-22T11:22:12Z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