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2D charts</w:t>
      </w:r>
      <w:bookmarkEnd w:id="1"/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2" w:name="_Toc2"/>
      <w:r>
        <w:t>Pie</w:t>
      </w:r>
      <w:bookmarkEnd w:id="2"/>
    </w:p>
    <w:p>
      <w:r>
        <w:drawing>
          <wp:inline>
            <wp:extent cx="2286000" cy="18288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>
      <w:pPr>
        <w:pStyle w:val="Heading2"/>
      </w:pPr>
      <w:bookmarkStart w:id="3" w:name="_Toc3"/>
      <w:r>
        <w:t>Doughnut</w:t>
      </w:r>
      <w:bookmarkEnd w:id="3"/>
    </w:p>
    <w:p>
      <w:r>
        <w:drawing>
          <wp:inline>
            <wp:extent cx="2286000" cy="18288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Bar</w:t>
      </w:r>
      <w:bookmarkEnd w:id="4"/>
    </w:p>
    <w:p>
      <w:r>
        <w:drawing>
          <wp:inline>
            <wp:extent cx="2286000" cy="18288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5" w:name="_Toc5"/>
      <w:r>
        <w:t>Column</w:t>
      </w:r>
      <w:bookmarkEnd w:id="5"/>
    </w:p>
    <w:p>
      <w:r>
        <w:drawing>
          <wp:inline>
            <wp:extent cx="2286000" cy="18288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Line</w:t>
      </w:r>
      <w:bookmarkEnd w:id="6"/>
    </w:p>
    <w:p>
      <w:r>
        <w:drawing>
          <wp:inline>
            <wp:extent cx="2286000" cy="18288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7" w:name="_Toc7"/>
      <w:r>
        <w:t>Area</w:t>
      </w:r>
      <w:bookmarkEnd w:id="7"/>
    </w:p>
    <w:p>
      <w:r>
        <w:drawing>
          <wp:inline>
            <wp:extent cx="2286000" cy="18288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Scatter</w:t>
      </w:r>
      <w:bookmarkEnd w:id="8"/>
    </w:p>
    <w:p>
      <w:r>
        <w:drawing>
          <wp:inline>
            <wp:extent cx="2286000" cy="18288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9" w:name="_Toc9"/>
      <w:r>
        <w:t>Radar</w:t>
      </w:r>
      <w:bookmarkEnd w:id="9"/>
    </w:p>
    <w:p>
      <w:r>
        <w:drawing>
          <wp:inline>
            <wp:extent cx="2286000" cy="18288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Stacked_bar</w:t>
      </w:r>
      <w:bookmarkEnd w:id="10"/>
    </w:p>
    <w:p>
      <w:r>
        <w:drawing>
          <wp:inline>
            <wp:extent cx="2286000" cy="18288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1" w:name="_Toc11"/>
      <w:r>
        <w:t>Percent_stacked_bar</w:t>
      </w:r>
      <w:bookmarkEnd w:id="11"/>
    </w:p>
    <w:p>
      <w:r>
        <w:drawing>
          <wp:inline>
            <wp:extent cx="2286000" cy="18288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Stacked_column</w:t>
      </w:r>
      <w:bookmarkEnd w:id="12"/>
    </w:p>
    <w:p>
      <w:r>
        <w:drawing>
          <wp:inline>
            <wp:extent cx="2286000" cy="18288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13" w:name="_Toc13"/>
      <w:r>
        <w:t>Percent_stacked_column</w:t>
      </w:r>
      <w:bookmarkEnd w:id="13"/>
    </w:p>
    <w:p>
      <w:r>
        <w:drawing>
          <wp:inline>
            <wp:extent cx="2286000" cy="18288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2" w:space="720"/>
        </w:sectPr>
      </w:pPr>
    </w:p>
    <w:p>
      <w:pPr>
        <w:pStyle w:val="Heading1"/>
      </w:pPr>
      <w:bookmarkStart w:id="14" w:name="_Toc14"/>
      <w:r>
        <w:t>3D charts</w:t>
      </w:r>
      <w:bookmarkEnd w:id="14"/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15" w:name="_Toc15"/>
      <w:r>
        <w:t>Pie</w:t>
      </w:r>
      <w:bookmarkEnd w:id="15"/>
    </w:p>
    <w:p>
      <w:r>
        <w:drawing>
          <wp:inline>
            <wp:extent cx="1800000" cy="144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Bar</w:t>
      </w:r>
      <w:bookmarkEnd w:id="16"/>
    </w:p>
    <w:p>
      <w:r>
        <w:drawing>
          <wp:inline>
            <wp:extent cx="1800000" cy="1440000"/>
            <wp:docPr id="20" name="Chart2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/>
    <w:p>
      <w:pPr>
        <w:pStyle w:val="Heading2"/>
      </w:pPr>
      <w:bookmarkStart w:id="17" w:name="_Toc17"/>
      <w:r>
        <w:t>Column</w:t>
      </w:r>
      <w:bookmarkEnd w:id="17"/>
    </w:p>
    <w:p>
      <w:r>
        <w:drawing>
          <wp:inline>
            <wp:extent cx="1800000" cy="1440000"/>
            <wp:docPr id="21" name="Chart2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Line</w:t>
      </w:r>
      <w:bookmarkEnd w:id="18"/>
    </w:p>
    <w:p>
      <w:r>
        <w:drawing>
          <wp:inline>
            <wp:extent cx="1800000" cy="1440000"/>
            <wp:docPr id="22" name="Chart2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/>
    <w:p>
      <w:pPr>
        <w:pStyle w:val="Heading2"/>
      </w:pPr>
      <w:bookmarkStart w:id="19" w:name="_Toc19"/>
      <w:r>
        <w:t>Area</w:t>
      </w:r>
      <w:bookmarkEnd w:id="19"/>
    </w:p>
    <w:p>
      <w:r>
        <w:drawing>
          <wp:inline>
            <wp:extent cx="1800000" cy="1440000"/>
            <wp:docPr id="23" name="Chart2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/>
      <w:bCs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chart" Target="charts/chart12.xml"/><Relationship Id="rId19" Type="http://schemas.openxmlformats.org/officeDocument/2006/relationships/chart" Target="charts/chart13.xml"/><Relationship Id="rId20" Type="http://schemas.openxmlformats.org/officeDocument/2006/relationships/chart" Target="charts/chart14.xml"/><Relationship Id="rId21" Type="http://schemas.openxmlformats.org/officeDocument/2006/relationships/chart" Target="charts/chart15.xml"/><Relationship Id="rId22" Type="http://schemas.openxmlformats.org/officeDocument/2006/relationships/chart" Target="charts/chart16.xml"/><Relationship Id="rId23" Type="http://schemas.openxmlformats.org/officeDocument/2006/relationships/chart" Target="charts/chart1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</c:pieChart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percentStack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stack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percentStack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3DChart>
        <c:varyColors val="1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</c:pie3DChart>
    </c:plotArea>
  </c:chart>
  <c:spPr>
    <a:ln>
      <a:noFill/>
    </a:ln>
  </c:spPr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bar"/>
        <c:grouping val="cluster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col"/>
        <c:grouping val="cluster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3DChart>
        <c:varyColors val="0"/>
        <c:grouping val="standar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area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doughnutChart>
        <c:varyColors val="1"/>
        <c:holeSize val="75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</c:doughnutChart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cluster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Chart>
        <c:varyColors val="0"/>
        <c:grouping val="standar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area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scatterChart>
        <c:varyColors val="0"/>
        <c:scatterStyle val="marker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spPr>
            <a:ln>
              <a:noFill/>
            </a:ln>
          </c:spPr>
          <c:xVal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y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spPr>
            <a:ln>
              <a:noFill/>
            </a:ln>
          </c:spPr>
          <c:xVal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yVal>
        </c:ser>
        <c:overlap val="100"/>
        <c:axId val="1"/>
        <c:axId val="2"/>
      </c:scatte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radarChart>
        <c:varyColors val="0"/>
        <c:radarStyle val="standar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rad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stack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2018-10-23T07:57:58+00:00</dcterms:created>
  <dcterms:modified xsi:type="dcterms:W3CDTF">2018-10-23T07:57:58+00:00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