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C112B" w14:textId="77777777" w:rsidR="00864B4A" w:rsidRDefault="00864B4A">
      <w:pPr>
        <w:spacing w:after="300"/>
      </w:pPr>
    </w:p>
    <w:p w14:paraId="3DBB95D5" w14:textId="77777777" w:rsidR="00864B4A" w:rsidRDefault="00000000">
      <w:pPr>
        <w:spacing w:after="50"/>
        <w:jc w:val="center"/>
      </w:pPr>
      <w:r>
        <w:rPr>
          <w:rFonts w:ascii="Arial" w:eastAsia="Arial" w:hAnsi="Arial" w:cs="Arial"/>
          <w:b/>
          <w:bCs/>
          <w:sz w:val="34"/>
          <w:szCs w:val="34"/>
        </w:rPr>
        <w:t>Early Prediction of Student Dropout</w:t>
      </w:r>
    </w:p>
    <w:p w14:paraId="606FE5D7" w14:textId="77777777" w:rsidR="00864B4A" w:rsidRDefault="00000000">
      <w:pPr>
        <w:spacing w:after="80"/>
        <w:jc w:val="center"/>
      </w:pPr>
      <w:r>
        <w:rPr>
          <w:rFonts w:ascii="Arial" w:eastAsia="Arial" w:hAnsi="Arial" w:cs="Arial"/>
          <w:b/>
          <w:bCs/>
          <w:sz w:val="34"/>
          <w:szCs w:val="34"/>
        </w:rPr>
        <w:t>Using Machine Learning</w:t>
      </w:r>
    </w:p>
    <w:p w14:paraId="3FD164AA" w14:textId="77777777" w:rsidR="00864B4A" w:rsidRDefault="00864B4A">
      <w:pPr>
        <w:pBdr>
          <w:bottom w:val="single" w:sz="6" w:space="4" w:color="1F4E79"/>
        </w:pBdr>
        <w:spacing w:after="120"/>
      </w:pPr>
    </w:p>
    <w:p w14:paraId="5F0F9563" w14:textId="77777777" w:rsidR="00864B4A" w:rsidRDefault="00000000">
      <w:pPr>
        <w:spacing w:after="60"/>
        <w:jc w:val="center"/>
      </w:pPr>
      <w:r>
        <w:rPr>
          <w:rFonts w:ascii="Arial" w:eastAsia="Arial" w:hAnsi="Arial" w:cs="Arial"/>
          <w:i/>
          <w:iCs/>
          <w:sz w:val="26"/>
          <w:szCs w:val="26"/>
        </w:rPr>
        <w:t>Technical Report</w:t>
      </w:r>
    </w:p>
    <w:p w14:paraId="73E2E9AD" w14:textId="77777777" w:rsidR="00864B4A" w:rsidRDefault="00000000">
      <w:pPr>
        <w:spacing w:after="40"/>
        <w:jc w:val="center"/>
      </w:pPr>
      <w:r>
        <w:rPr>
          <w:rFonts w:ascii="Arial" w:eastAsia="Arial" w:hAnsi="Arial" w:cs="Arial"/>
          <w:sz w:val="23"/>
          <w:szCs w:val="23"/>
        </w:rPr>
        <w:t xml:space="preserve">Group 3: Kristen Kohler, Marith </w:t>
      </w:r>
      <w:proofErr w:type="spellStart"/>
      <w:r>
        <w:rPr>
          <w:rFonts w:ascii="Arial" w:eastAsia="Arial" w:hAnsi="Arial" w:cs="Arial"/>
          <w:sz w:val="23"/>
          <w:szCs w:val="23"/>
        </w:rPr>
        <w:t>Bijkerk</w:t>
      </w:r>
      <w:proofErr w:type="spellEnd"/>
      <w:r>
        <w:rPr>
          <w:rFonts w:ascii="Arial" w:eastAsia="Arial" w:hAnsi="Arial" w:cs="Arial"/>
          <w:sz w:val="23"/>
          <w:szCs w:val="23"/>
        </w:rPr>
        <w:t>, Chenxi Lai, Ankita Lala</w:t>
      </w:r>
    </w:p>
    <w:p w14:paraId="632B9592" w14:textId="77777777" w:rsidR="00864B4A" w:rsidRDefault="00000000">
      <w:pPr>
        <w:spacing w:after="400"/>
        <w:jc w:val="center"/>
      </w:pPr>
      <w:r>
        <w:rPr>
          <w:rFonts w:ascii="Arial" w:eastAsia="Arial" w:hAnsi="Arial" w:cs="Arial"/>
          <w:sz w:val="22"/>
          <w:szCs w:val="22"/>
        </w:rPr>
        <w:t>Course: Machine Learning | Saint Joseph University | Spring 2026</w:t>
      </w:r>
    </w:p>
    <w:p w14:paraId="1A15E878" w14:textId="77777777" w:rsidR="00864B4A" w:rsidRDefault="00000000">
      <w:r>
        <w:br w:type="page"/>
      </w:r>
    </w:p>
    <w:p w14:paraId="558402AF" w14:textId="77777777" w:rsidR="00864B4A" w:rsidRDefault="00000000">
      <w:pPr>
        <w:pBdr>
          <w:bottom w:val="single" w:sz="6" w:space="4" w:color="1F4E79"/>
        </w:pBdr>
        <w:spacing w:before="300" w:after="120"/>
      </w:pPr>
      <w:r>
        <w:rPr>
          <w:rFonts w:ascii="Arial" w:eastAsia="Arial" w:hAnsi="Arial" w:cs="Arial"/>
          <w:b/>
          <w:bCs/>
          <w:color w:val="1F4E79"/>
          <w:sz w:val="28"/>
          <w:szCs w:val="28"/>
        </w:rPr>
        <w:lastRenderedPageBreak/>
        <w:t>1. Problem Statement and Business Case</w:t>
      </w:r>
    </w:p>
    <w:p w14:paraId="4467CB2A" w14:textId="77777777" w:rsidR="00864B4A" w:rsidRDefault="00000000">
      <w:pPr>
        <w:spacing w:after="120"/>
      </w:pPr>
      <w:r>
        <w:rPr>
          <w:rFonts w:ascii="Arial" w:eastAsia="Arial" w:hAnsi="Arial" w:cs="Arial"/>
          <w:sz w:val="24"/>
          <w:szCs w:val="24"/>
        </w:rPr>
        <w:t>Student dropout is a multi-sided problem. The student loses the career and income benefits of a completed degree; the institution loses tuition revenue and graduate completion metrics; and the broader economy loses a trained worker. In Portugal, where this dataset was collected, dropout rates remain above the European average despite recent improvements, with significant variation across institution types and disciplines.</w:t>
      </w:r>
    </w:p>
    <w:p w14:paraId="5CE9F10F" w14:textId="77777777" w:rsidR="00864B4A" w:rsidRDefault="00000000">
      <w:pPr>
        <w:spacing w:after="120"/>
      </w:pPr>
      <w:r>
        <w:rPr>
          <w:rFonts w:ascii="Arial" w:eastAsia="Arial" w:hAnsi="Arial" w:cs="Arial"/>
          <w:b/>
          <w:bCs/>
          <w:sz w:val="24"/>
          <w:szCs w:val="24"/>
        </w:rPr>
        <w:t>The goal</w:t>
      </w:r>
      <w:r>
        <w:rPr>
          <w:rFonts w:ascii="Arial" w:eastAsia="Arial" w:hAnsi="Arial" w:cs="Arial"/>
          <w:sz w:val="24"/>
          <w:szCs w:val="24"/>
        </w:rPr>
        <w:t xml:space="preserve"> of this project is to build a machine learning pipeline that identifies students at risk of dropout early enough for advisors to intervene. Rather than waiting for a student to miss several assessments or fall behind on fees, the model flags at-risk students proactively after the first semester, giving institutions a concrete window for support.</w:t>
      </w:r>
    </w:p>
    <w:p w14:paraId="15D1AE62" w14:textId="77777777" w:rsidR="00864B4A" w:rsidRDefault="00000000">
      <w:pPr>
        <w:spacing w:before="220" w:after="80"/>
      </w:pPr>
      <w:r>
        <w:rPr>
          <w:rFonts w:ascii="Arial" w:eastAsia="Arial" w:hAnsi="Arial" w:cs="Arial"/>
          <w:b/>
          <w:bCs/>
          <w:color w:val="2E75B6"/>
          <w:sz w:val="25"/>
          <w:szCs w:val="25"/>
        </w:rPr>
        <w:t>Business Value</w:t>
      </w:r>
    </w:p>
    <w:p w14:paraId="281BA897" w14:textId="77777777" w:rsidR="00864B4A" w:rsidRDefault="00000000">
      <w:pPr>
        <w:pStyle w:val="ListParagraph"/>
        <w:numPr>
          <w:ilvl w:val="0"/>
          <w:numId w:val="2"/>
        </w:numPr>
        <w:spacing w:after="60"/>
      </w:pPr>
      <w:r>
        <w:rPr>
          <w:rFonts w:ascii="Arial" w:eastAsia="Arial" w:hAnsi="Arial" w:cs="Arial"/>
          <w:sz w:val="22"/>
          <w:szCs w:val="22"/>
        </w:rPr>
        <w:t>Early-warning flags reduce dropout rates and improve institutional completion statistics</w:t>
      </w:r>
    </w:p>
    <w:p w14:paraId="481F6B2B" w14:textId="77777777" w:rsidR="00864B4A" w:rsidRDefault="00000000">
      <w:pPr>
        <w:pStyle w:val="ListParagraph"/>
        <w:numPr>
          <w:ilvl w:val="0"/>
          <w:numId w:val="2"/>
        </w:numPr>
        <w:spacing w:after="60"/>
      </w:pPr>
      <w:r>
        <w:rPr>
          <w:rFonts w:ascii="Arial" w:eastAsia="Arial" w:hAnsi="Arial" w:cs="Arial"/>
          <w:sz w:val="22"/>
          <w:szCs w:val="22"/>
        </w:rPr>
        <w:t xml:space="preserve">Financial aid teams can </w:t>
      </w:r>
      <w:proofErr w:type="spellStart"/>
      <w:r>
        <w:rPr>
          <w:rFonts w:ascii="Arial" w:eastAsia="Arial" w:hAnsi="Arial" w:cs="Arial"/>
          <w:sz w:val="22"/>
          <w:szCs w:val="22"/>
        </w:rPr>
        <w:t>prioritise</w:t>
      </w:r>
      <w:proofErr w:type="spellEnd"/>
      <w:r>
        <w:rPr>
          <w:rFonts w:ascii="Arial" w:eastAsia="Arial" w:hAnsi="Arial" w:cs="Arial"/>
          <w:sz w:val="22"/>
          <w:szCs w:val="22"/>
        </w:rPr>
        <w:t xml:space="preserve"> outreach to students with tuition arrears before fees escalate</w:t>
      </w:r>
    </w:p>
    <w:p w14:paraId="785F20F1" w14:textId="77777777" w:rsidR="00864B4A" w:rsidRDefault="00000000">
      <w:pPr>
        <w:pStyle w:val="ListParagraph"/>
        <w:numPr>
          <w:ilvl w:val="0"/>
          <w:numId w:val="2"/>
        </w:numPr>
        <w:spacing w:after="60"/>
      </w:pPr>
      <w:r>
        <w:rPr>
          <w:rFonts w:ascii="Arial" w:eastAsia="Arial" w:hAnsi="Arial" w:cs="Arial"/>
          <w:sz w:val="22"/>
          <w:szCs w:val="22"/>
        </w:rPr>
        <w:t xml:space="preserve">Academic advisors can direct tutoring and </w:t>
      </w:r>
      <w:proofErr w:type="gramStart"/>
      <w:r>
        <w:rPr>
          <w:rFonts w:ascii="Arial" w:eastAsia="Arial" w:hAnsi="Arial" w:cs="Arial"/>
          <w:sz w:val="22"/>
          <w:szCs w:val="22"/>
        </w:rPr>
        <w:t>mentoring to</w:t>
      </w:r>
      <w:proofErr w:type="gramEnd"/>
      <w:r>
        <w:rPr>
          <w:rFonts w:ascii="Arial" w:eastAsia="Arial" w:hAnsi="Arial" w:cs="Arial"/>
          <w:sz w:val="22"/>
          <w:szCs w:val="22"/>
        </w:rPr>
        <w:t xml:space="preserve"> the students most likely to disengage</w:t>
      </w:r>
    </w:p>
    <w:p w14:paraId="747FB2F6" w14:textId="77777777" w:rsidR="00864B4A" w:rsidRDefault="00000000">
      <w:pPr>
        <w:pStyle w:val="ListParagraph"/>
        <w:numPr>
          <w:ilvl w:val="0"/>
          <w:numId w:val="2"/>
        </w:numPr>
        <w:spacing w:after="60"/>
      </w:pPr>
      <w:r>
        <w:rPr>
          <w:rFonts w:ascii="Arial" w:eastAsia="Arial" w:hAnsi="Arial" w:cs="Arial"/>
          <w:sz w:val="22"/>
          <w:szCs w:val="22"/>
        </w:rPr>
        <w:t xml:space="preserve">Return-on-investment calculations for retention </w:t>
      </w:r>
      <w:proofErr w:type="spellStart"/>
      <w:r>
        <w:rPr>
          <w:rFonts w:ascii="Arial" w:eastAsia="Arial" w:hAnsi="Arial" w:cs="Arial"/>
          <w:sz w:val="22"/>
          <w:szCs w:val="22"/>
        </w:rPr>
        <w:t>programmes</w:t>
      </w:r>
      <w:proofErr w:type="spellEnd"/>
      <w:r>
        <w:rPr>
          <w:rFonts w:ascii="Arial" w:eastAsia="Arial" w:hAnsi="Arial" w:cs="Arial"/>
          <w:sz w:val="22"/>
          <w:szCs w:val="22"/>
        </w:rPr>
        <w:t xml:space="preserve"> become evidence-based rather than intuitive</w:t>
      </w:r>
    </w:p>
    <w:p w14:paraId="6201797B" w14:textId="77777777" w:rsidR="00864B4A" w:rsidRDefault="00864B4A">
      <w:pPr>
        <w:spacing w:after="80"/>
      </w:pPr>
    </w:p>
    <w:p w14:paraId="6D9E5619" w14:textId="77777777" w:rsidR="00864B4A" w:rsidRDefault="00000000">
      <w:pPr>
        <w:spacing w:after="160"/>
      </w:pPr>
      <w:r>
        <w:rPr>
          <w:rFonts w:ascii="Arial" w:eastAsia="Arial" w:hAnsi="Arial" w:cs="Arial"/>
          <w:b/>
          <w:bCs/>
          <w:sz w:val="24"/>
          <w:szCs w:val="24"/>
        </w:rPr>
        <w:t xml:space="preserve">Dataset: </w:t>
      </w:r>
      <w:r>
        <w:rPr>
          <w:rFonts w:ascii="Arial" w:eastAsia="Arial" w:hAnsi="Arial" w:cs="Arial"/>
          <w:sz w:val="24"/>
          <w:szCs w:val="24"/>
        </w:rPr>
        <w:t>Student Dropout and Academic Success (</w:t>
      </w:r>
      <w:proofErr w:type="spellStart"/>
      <w:r>
        <w:rPr>
          <w:rFonts w:ascii="Arial" w:eastAsia="Arial" w:hAnsi="Arial" w:cs="Arial"/>
          <w:sz w:val="24"/>
          <w:szCs w:val="24"/>
        </w:rPr>
        <w:t>Realinho</w:t>
      </w:r>
      <w:proofErr w:type="spellEnd"/>
      <w:r>
        <w:rPr>
          <w:rFonts w:ascii="Arial" w:eastAsia="Arial" w:hAnsi="Arial" w:cs="Arial"/>
          <w:sz w:val="24"/>
          <w:szCs w:val="24"/>
        </w:rPr>
        <w:t xml:space="preserve"> et al., 2022), UCI Machine Learning Repository. 4,424 records, 36 features: academic performance, financial status, demographics, macroeconomics.</w:t>
      </w:r>
    </w:p>
    <w:p w14:paraId="6E59E4EE" w14:textId="77777777" w:rsidR="00864B4A" w:rsidRDefault="00000000">
      <w:pPr>
        <w:pBdr>
          <w:bottom w:val="single" w:sz="6" w:space="4" w:color="1F4E79"/>
        </w:pBdr>
        <w:spacing w:before="300" w:after="120"/>
      </w:pPr>
      <w:r>
        <w:rPr>
          <w:rFonts w:ascii="Arial" w:eastAsia="Arial" w:hAnsi="Arial" w:cs="Arial"/>
          <w:b/>
          <w:bCs/>
          <w:color w:val="1F4E79"/>
          <w:sz w:val="28"/>
          <w:szCs w:val="28"/>
        </w:rPr>
        <w:t>2. Data Preprocessing Steps and Actions</w:t>
      </w:r>
    </w:p>
    <w:p w14:paraId="09B07560" w14:textId="77777777" w:rsidR="00864B4A" w:rsidRDefault="00000000">
      <w:pPr>
        <w:spacing w:before="220" w:after="80"/>
      </w:pPr>
      <w:r>
        <w:rPr>
          <w:rFonts w:ascii="Arial" w:eastAsia="Arial" w:hAnsi="Arial" w:cs="Arial"/>
          <w:b/>
          <w:bCs/>
          <w:color w:val="2E75B6"/>
          <w:sz w:val="25"/>
          <w:szCs w:val="25"/>
        </w:rPr>
        <w:t>2.1 Initial Inspection</w:t>
      </w:r>
    </w:p>
    <w:p w14:paraId="5193A18A" w14:textId="77777777" w:rsidR="00864B4A" w:rsidRDefault="00000000">
      <w:pPr>
        <w:spacing w:after="120"/>
      </w:pPr>
      <w:r>
        <w:rPr>
          <w:rFonts w:ascii="Arial" w:eastAsia="Arial" w:hAnsi="Arial" w:cs="Arial"/>
          <w:sz w:val="24"/>
          <w:szCs w:val="24"/>
        </w:rPr>
        <w:t xml:space="preserve">The dataset arrived in excellent condition with </w:t>
      </w:r>
      <w:r>
        <w:rPr>
          <w:rFonts w:ascii="Arial" w:eastAsia="Arial" w:hAnsi="Arial" w:cs="Arial"/>
          <w:b/>
          <w:bCs/>
          <w:sz w:val="24"/>
          <w:szCs w:val="24"/>
        </w:rPr>
        <w:t>no missing values and no duplicate rows</w:t>
      </w:r>
      <w:r>
        <w:rPr>
          <w:rFonts w:ascii="Arial" w:eastAsia="Arial" w:hAnsi="Arial" w:cs="Arial"/>
          <w:sz w:val="24"/>
          <w:szCs w:val="24"/>
        </w:rPr>
        <w:t>. All 36 features are numeric; only the target column is a string. The target has three classes: Graduate (49.9%), Dropout (32.1%), Enrolled (17.9%).</w:t>
      </w:r>
    </w:p>
    <w:p w14:paraId="27A917C8" w14:textId="77777777" w:rsidR="00864B4A" w:rsidRDefault="00000000">
      <w:pPr>
        <w:spacing w:before="220" w:after="80"/>
      </w:pPr>
      <w:r>
        <w:rPr>
          <w:rFonts w:ascii="Arial" w:eastAsia="Arial" w:hAnsi="Arial" w:cs="Arial"/>
          <w:b/>
          <w:bCs/>
          <w:color w:val="2E75B6"/>
          <w:sz w:val="25"/>
          <w:szCs w:val="25"/>
        </w:rPr>
        <w:t>2.2 Binary Target Creation</w:t>
      </w:r>
    </w:p>
    <w:p w14:paraId="1D0215AC" w14:textId="77777777" w:rsidR="00864B4A" w:rsidRDefault="00000000">
      <w:pPr>
        <w:spacing w:after="120"/>
      </w:pPr>
      <w:r>
        <w:rPr>
          <w:rFonts w:ascii="Arial" w:eastAsia="Arial" w:hAnsi="Arial" w:cs="Arial"/>
          <w:sz w:val="24"/>
          <w:szCs w:val="24"/>
        </w:rPr>
        <w:t xml:space="preserve">The three-class target was converted to binary: </w:t>
      </w:r>
      <w:r>
        <w:rPr>
          <w:rFonts w:ascii="Arial" w:eastAsia="Arial" w:hAnsi="Arial" w:cs="Arial"/>
          <w:b/>
          <w:bCs/>
          <w:sz w:val="24"/>
          <w:szCs w:val="24"/>
        </w:rPr>
        <w:t>Dropout = 1, Non-Dropout (Graduate or Enrolled) = 0</w:t>
      </w:r>
      <w:r>
        <w:rPr>
          <w:rFonts w:ascii="Arial" w:eastAsia="Arial" w:hAnsi="Arial" w:cs="Arial"/>
          <w:sz w:val="24"/>
          <w:szCs w:val="24"/>
        </w:rPr>
        <w:t>. The business question is simply who is at risk of leaving. Distinguishing between those who graduated and those still enrolled is not needed for the intervention objective.</w:t>
      </w:r>
    </w:p>
    <w:p w14:paraId="74061BEE" w14:textId="77777777" w:rsidR="00864B4A" w:rsidRDefault="00000000">
      <w:pPr>
        <w:spacing w:before="220" w:after="80"/>
      </w:pPr>
      <w:r>
        <w:rPr>
          <w:rFonts w:ascii="Arial" w:eastAsia="Arial" w:hAnsi="Arial" w:cs="Arial"/>
          <w:b/>
          <w:bCs/>
          <w:color w:val="2E75B6"/>
          <w:sz w:val="25"/>
          <w:szCs w:val="25"/>
        </w:rPr>
        <w:t>2.3 Low-Signal Column Removal</w:t>
      </w:r>
    </w:p>
    <w:p w14:paraId="296A7F5C" w14:textId="77777777" w:rsidR="00864B4A" w:rsidRDefault="00000000">
      <w:pPr>
        <w:pStyle w:val="ListParagraph"/>
        <w:numPr>
          <w:ilvl w:val="0"/>
          <w:numId w:val="2"/>
        </w:numPr>
        <w:spacing w:after="60"/>
      </w:pPr>
      <w:proofErr w:type="spellStart"/>
      <w:r>
        <w:rPr>
          <w:rFonts w:ascii="Arial" w:eastAsia="Arial" w:hAnsi="Arial" w:cs="Arial"/>
          <w:sz w:val="22"/>
          <w:szCs w:val="22"/>
        </w:rPr>
        <w:t>Nacionality</w:t>
      </w:r>
      <w:proofErr w:type="spellEnd"/>
      <w:r>
        <w:rPr>
          <w:rFonts w:ascii="Arial" w:eastAsia="Arial" w:hAnsi="Arial" w:cs="Arial"/>
          <w:sz w:val="22"/>
          <w:szCs w:val="22"/>
        </w:rPr>
        <w:t xml:space="preserve">: 109 unique values, 96% Portuguese, </w:t>
      </w:r>
      <w:proofErr w:type="gramStart"/>
      <w:r>
        <w:rPr>
          <w:rFonts w:ascii="Arial" w:eastAsia="Arial" w:hAnsi="Arial" w:cs="Arial"/>
          <w:sz w:val="22"/>
          <w:szCs w:val="22"/>
        </w:rPr>
        <w:t>near-constant</w:t>
      </w:r>
      <w:proofErr w:type="gramEnd"/>
      <w:r>
        <w:rPr>
          <w:rFonts w:ascii="Arial" w:eastAsia="Arial" w:hAnsi="Arial" w:cs="Arial"/>
          <w:sz w:val="22"/>
          <w:szCs w:val="22"/>
        </w:rPr>
        <w:t>, adds noise</w:t>
      </w:r>
    </w:p>
    <w:p w14:paraId="75A4B6AC" w14:textId="77777777" w:rsidR="00864B4A" w:rsidRDefault="00000000">
      <w:pPr>
        <w:pStyle w:val="ListParagraph"/>
        <w:numPr>
          <w:ilvl w:val="0"/>
          <w:numId w:val="2"/>
        </w:numPr>
        <w:spacing w:after="60"/>
      </w:pPr>
      <w:r>
        <w:rPr>
          <w:rFonts w:ascii="Arial" w:eastAsia="Arial" w:hAnsi="Arial" w:cs="Arial"/>
          <w:sz w:val="22"/>
          <w:szCs w:val="22"/>
        </w:rPr>
        <w:t>Marital Status: 88.6% single, near-constant, minimal variance</w:t>
      </w:r>
    </w:p>
    <w:p w14:paraId="4B00E4E9" w14:textId="77777777" w:rsidR="00864B4A" w:rsidRDefault="00000000">
      <w:pPr>
        <w:pStyle w:val="ListParagraph"/>
        <w:numPr>
          <w:ilvl w:val="0"/>
          <w:numId w:val="2"/>
        </w:numPr>
        <w:spacing w:after="60"/>
      </w:pPr>
      <w:r>
        <w:rPr>
          <w:rFonts w:ascii="Arial" w:eastAsia="Arial" w:hAnsi="Arial" w:cs="Arial"/>
          <w:sz w:val="22"/>
          <w:szCs w:val="22"/>
        </w:rPr>
        <w:t>Application Order: procedural field, no causal link to dropout</w:t>
      </w:r>
    </w:p>
    <w:p w14:paraId="7C5AA55E" w14:textId="77777777" w:rsidR="00864B4A" w:rsidRDefault="00864B4A">
      <w:pPr>
        <w:spacing w:after="80"/>
      </w:pPr>
    </w:p>
    <w:p w14:paraId="3C87087A" w14:textId="77777777" w:rsidR="00864B4A" w:rsidRDefault="00000000">
      <w:pPr>
        <w:spacing w:before="220" w:after="80"/>
      </w:pPr>
      <w:r>
        <w:rPr>
          <w:rFonts w:ascii="Arial" w:eastAsia="Arial" w:hAnsi="Arial" w:cs="Arial"/>
          <w:b/>
          <w:bCs/>
          <w:color w:val="2E75B6"/>
          <w:sz w:val="25"/>
          <w:szCs w:val="25"/>
        </w:rPr>
        <w:t>2.4 Outlier Detection and Treatment (</w:t>
      </w:r>
      <w:proofErr w:type="spellStart"/>
      <w:r>
        <w:rPr>
          <w:rFonts w:ascii="Arial" w:eastAsia="Arial" w:hAnsi="Arial" w:cs="Arial"/>
          <w:b/>
          <w:bCs/>
          <w:color w:val="2E75B6"/>
          <w:sz w:val="25"/>
          <w:szCs w:val="25"/>
        </w:rPr>
        <w:t>Winsorization</w:t>
      </w:r>
      <w:proofErr w:type="spellEnd"/>
      <w:r>
        <w:rPr>
          <w:rFonts w:ascii="Arial" w:eastAsia="Arial" w:hAnsi="Arial" w:cs="Arial"/>
          <w:b/>
          <w:bCs/>
          <w:color w:val="2E75B6"/>
          <w:sz w:val="25"/>
          <w:szCs w:val="25"/>
        </w:rPr>
        <w:t>)</w:t>
      </w:r>
    </w:p>
    <w:p w14:paraId="235CF794" w14:textId="77777777" w:rsidR="00864B4A" w:rsidRDefault="00000000">
      <w:pPr>
        <w:spacing w:after="80"/>
      </w:pPr>
      <w:r>
        <w:rPr>
          <w:rFonts w:ascii="Arial" w:eastAsia="Arial" w:hAnsi="Arial" w:cs="Arial"/>
          <w:sz w:val="24"/>
          <w:szCs w:val="24"/>
        </w:rPr>
        <w:lastRenderedPageBreak/>
        <w:t xml:space="preserve">IQR-based detection identified outliers in several columns. Rather than removing rows, </w:t>
      </w:r>
      <w:proofErr w:type="spellStart"/>
      <w:r>
        <w:rPr>
          <w:rFonts w:ascii="Arial" w:eastAsia="Arial" w:hAnsi="Arial" w:cs="Arial"/>
          <w:b/>
          <w:bCs/>
          <w:sz w:val="24"/>
          <w:szCs w:val="24"/>
        </w:rPr>
        <w:t>Winsorization</w:t>
      </w:r>
      <w:proofErr w:type="spellEnd"/>
      <w:r>
        <w:rPr>
          <w:rFonts w:ascii="Arial" w:eastAsia="Arial" w:hAnsi="Arial" w:cs="Arial"/>
          <w:b/>
          <w:bCs/>
          <w:sz w:val="24"/>
          <w:szCs w:val="24"/>
        </w:rPr>
        <w:t xml:space="preserve"> at the 1st and 99th percentile</w:t>
      </w:r>
      <w:r>
        <w:rPr>
          <w:rFonts w:ascii="Arial" w:eastAsia="Arial" w:hAnsi="Arial" w:cs="Arial"/>
          <w:sz w:val="24"/>
          <w:szCs w:val="24"/>
        </w:rPr>
        <w:t xml:space="preserve"> was applied to all numeric features. This approach:</w:t>
      </w:r>
    </w:p>
    <w:p w14:paraId="4092B8A4" w14:textId="77777777" w:rsidR="00864B4A" w:rsidRDefault="00000000">
      <w:pPr>
        <w:pStyle w:val="ListParagraph"/>
        <w:numPr>
          <w:ilvl w:val="0"/>
          <w:numId w:val="2"/>
        </w:numPr>
        <w:spacing w:after="60"/>
      </w:pPr>
      <w:r>
        <w:rPr>
          <w:rFonts w:ascii="Arial" w:eastAsia="Arial" w:hAnsi="Arial" w:cs="Arial"/>
          <w:sz w:val="22"/>
          <w:szCs w:val="22"/>
        </w:rPr>
        <w:t>Keeps all 4,424 rows, no data is discarded</w:t>
      </w:r>
    </w:p>
    <w:p w14:paraId="57C2372E" w14:textId="77777777" w:rsidR="00864B4A" w:rsidRDefault="00000000">
      <w:pPr>
        <w:pStyle w:val="ListParagraph"/>
        <w:numPr>
          <w:ilvl w:val="0"/>
          <w:numId w:val="2"/>
        </w:numPr>
        <w:spacing w:after="60"/>
      </w:pPr>
      <w:r>
        <w:rPr>
          <w:rFonts w:ascii="Arial" w:eastAsia="Arial" w:hAnsi="Arial" w:cs="Arial"/>
          <w:sz w:val="22"/>
          <w:szCs w:val="22"/>
        </w:rPr>
        <w:t>Caps extreme values at the 1st/99th percentile bounds rather than deleting them</w:t>
      </w:r>
    </w:p>
    <w:p w14:paraId="50CBC41D" w14:textId="77777777" w:rsidR="00864B4A" w:rsidRDefault="00000000">
      <w:pPr>
        <w:pStyle w:val="ListParagraph"/>
        <w:numPr>
          <w:ilvl w:val="0"/>
          <w:numId w:val="2"/>
        </w:numPr>
        <w:spacing w:after="60"/>
      </w:pPr>
      <w:r>
        <w:rPr>
          <w:rFonts w:ascii="Arial" w:eastAsia="Arial" w:hAnsi="Arial" w:cs="Arial"/>
          <w:sz w:val="22"/>
          <w:szCs w:val="22"/>
        </w:rPr>
        <w:t>Preserves the direction and ordering of outliers, a student with 0 approved units is still very different from one with 5</w:t>
      </w:r>
    </w:p>
    <w:p w14:paraId="342F75A9" w14:textId="77777777" w:rsidR="00864B4A" w:rsidRDefault="00000000">
      <w:pPr>
        <w:pStyle w:val="ListParagraph"/>
        <w:numPr>
          <w:ilvl w:val="0"/>
          <w:numId w:val="2"/>
        </w:numPr>
        <w:spacing w:after="60"/>
      </w:pPr>
      <w:r>
        <w:rPr>
          <w:rFonts w:ascii="Arial" w:eastAsia="Arial" w:hAnsi="Arial" w:cs="Arial"/>
          <w:sz w:val="22"/>
          <w:szCs w:val="22"/>
        </w:rPr>
        <w:t>Prevents a handful of extreme values from disproportionately influencing model coefficients or tree split thresholds</w:t>
      </w:r>
    </w:p>
    <w:p w14:paraId="1BC1A82B" w14:textId="77777777" w:rsidR="00864B4A" w:rsidRDefault="00864B4A">
      <w:pPr>
        <w:spacing w:after="80"/>
      </w:pPr>
    </w:p>
    <w:p w14:paraId="6F5D2FF1" w14:textId="77777777" w:rsidR="00864B4A" w:rsidRDefault="00000000">
      <w:pPr>
        <w:spacing w:after="100"/>
      </w:pPr>
      <w:r>
        <w:rPr>
          <w:rFonts w:ascii="Arial" w:eastAsia="Arial" w:hAnsi="Arial" w:cs="Arial"/>
          <w:sz w:val="24"/>
          <w:szCs w:val="24"/>
        </w:rPr>
        <w:t xml:space="preserve">Figure 1 below shows four key features before and after treatment. The red boxplots (before) show visible outlier points stretching well beyond the box. After </w:t>
      </w:r>
      <w:proofErr w:type="spellStart"/>
      <w:r>
        <w:rPr>
          <w:rFonts w:ascii="Arial" w:eastAsia="Arial" w:hAnsi="Arial" w:cs="Arial"/>
          <w:sz w:val="24"/>
          <w:szCs w:val="24"/>
        </w:rPr>
        <w:t>Winsorization</w:t>
      </w:r>
      <w:proofErr w:type="spellEnd"/>
      <w:r>
        <w:rPr>
          <w:rFonts w:ascii="Arial" w:eastAsia="Arial" w:hAnsi="Arial" w:cs="Arial"/>
          <w:sz w:val="24"/>
          <w:szCs w:val="24"/>
        </w:rPr>
        <w:t xml:space="preserve"> (green), the distribution is more compact while retaining its overall shape.</w:t>
      </w:r>
    </w:p>
    <w:p w14:paraId="650524D6" w14:textId="77777777" w:rsidR="00864B4A" w:rsidRDefault="00000000">
      <w:pPr>
        <w:spacing w:before="100"/>
        <w:jc w:val="center"/>
      </w:pPr>
      <w:r>
        <w:rPr>
          <w:noProof/>
        </w:rPr>
        <w:drawing>
          <wp:inline distT="0" distB="0" distL="0" distR="0" wp14:anchorId="0CDE2B50" wp14:editId="42304D24">
            <wp:extent cx="5143500" cy="2000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2000250"/>
                    </a:xfrm>
                    <a:prstGeom prst="rect">
                      <a:avLst/>
                    </a:prstGeom>
                  </pic:spPr>
                </pic:pic>
              </a:graphicData>
            </a:graphic>
          </wp:inline>
        </w:drawing>
      </w:r>
    </w:p>
    <w:p w14:paraId="1163225A" w14:textId="77777777" w:rsidR="00864B4A" w:rsidRDefault="00000000">
      <w:pPr>
        <w:spacing w:before="40" w:after="180"/>
        <w:jc w:val="center"/>
      </w:pPr>
      <w:r>
        <w:rPr>
          <w:rFonts w:ascii="Arial" w:eastAsia="Arial" w:hAnsi="Arial" w:cs="Arial"/>
          <w:i/>
          <w:iCs/>
        </w:rPr>
        <w:t xml:space="preserve">Figure 1: Outlier treatment. Red = before </w:t>
      </w:r>
      <w:proofErr w:type="spellStart"/>
      <w:r>
        <w:rPr>
          <w:rFonts w:ascii="Arial" w:eastAsia="Arial" w:hAnsi="Arial" w:cs="Arial"/>
          <w:i/>
          <w:iCs/>
        </w:rPr>
        <w:t>Winsorization</w:t>
      </w:r>
      <w:proofErr w:type="spellEnd"/>
      <w:r>
        <w:rPr>
          <w:rFonts w:ascii="Arial" w:eastAsia="Arial" w:hAnsi="Arial" w:cs="Arial"/>
          <w:i/>
          <w:iCs/>
        </w:rPr>
        <w:t xml:space="preserve">, Green = after. All 4,424 rows </w:t>
      </w:r>
      <w:proofErr w:type="gramStart"/>
      <w:r>
        <w:rPr>
          <w:rFonts w:ascii="Arial" w:eastAsia="Arial" w:hAnsi="Arial" w:cs="Arial"/>
          <w:i/>
          <w:iCs/>
        </w:rPr>
        <w:t>retained</w:t>
      </w:r>
      <w:proofErr w:type="gramEnd"/>
      <w:r>
        <w:rPr>
          <w:rFonts w:ascii="Arial" w:eastAsia="Arial" w:hAnsi="Arial" w:cs="Arial"/>
          <w:i/>
          <w:iCs/>
        </w:rPr>
        <w:t>; only extreme values capped.</w:t>
      </w:r>
    </w:p>
    <w:p w14:paraId="23298CCC" w14:textId="77777777" w:rsidR="00864B4A" w:rsidRDefault="00000000">
      <w:pPr>
        <w:spacing w:before="220" w:after="80"/>
      </w:pPr>
      <w:r>
        <w:rPr>
          <w:rFonts w:ascii="Arial" w:eastAsia="Arial" w:hAnsi="Arial" w:cs="Arial"/>
          <w:b/>
          <w:bCs/>
          <w:color w:val="2E75B6"/>
          <w:sz w:val="25"/>
          <w:szCs w:val="25"/>
        </w:rPr>
        <w:t>2.5 Class Imbalance Handling</w:t>
      </w:r>
    </w:p>
    <w:p w14:paraId="0C0B2722" w14:textId="77777777" w:rsidR="00864B4A" w:rsidRDefault="00000000">
      <w:pPr>
        <w:spacing w:after="120"/>
      </w:pPr>
      <w:r>
        <w:rPr>
          <w:rFonts w:ascii="Arial" w:eastAsia="Arial" w:hAnsi="Arial" w:cs="Arial"/>
          <w:sz w:val="24"/>
          <w:szCs w:val="24"/>
        </w:rPr>
        <w:t xml:space="preserve">The binary split produces 3,003 </w:t>
      </w:r>
      <w:proofErr w:type="gramStart"/>
      <w:r>
        <w:rPr>
          <w:rFonts w:ascii="Arial" w:eastAsia="Arial" w:hAnsi="Arial" w:cs="Arial"/>
          <w:sz w:val="24"/>
          <w:szCs w:val="24"/>
        </w:rPr>
        <w:t>Non-Dropout</w:t>
      </w:r>
      <w:proofErr w:type="gramEnd"/>
      <w:r>
        <w:rPr>
          <w:rFonts w:ascii="Arial" w:eastAsia="Arial" w:hAnsi="Arial" w:cs="Arial"/>
          <w:sz w:val="24"/>
          <w:szCs w:val="24"/>
        </w:rPr>
        <w:t xml:space="preserve"> vs. 1,421 Dropout records, a 2.1:1 ratio. A naive classifier predicting </w:t>
      </w:r>
      <w:proofErr w:type="gramStart"/>
      <w:r>
        <w:rPr>
          <w:rFonts w:ascii="Arial" w:eastAsia="Arial" w:hAnsi="Arial" w:cs="Arial"/>
          <w:sz w:val="24"/>
          <w:szCs w:val="24"/>
        </w:rPr>
        <w:t>Non-Dropout</w:t>
      </w:r>
      <w:proofErr w:type="gramEnd"/>
      <w:r>
        <w:rPr>
          <w:rFonts w:ascii="Arial" w:eastAsia="Arial" w:hAnsi="Arial" w:cs="Arial"/>
          <w:sz w:val="24"/>
          <w:szCs w:val="24"/>
        </w:rPr>
        <w:t xml:space="preserve"> always would achieve 67.9% accuracy without identifying a single at-risk student, confirming that accuracy is not an appropriate primary metric. </w:t>
      </w:r>
      <w:r>
        <w:rPr>
          <w:rFonts w:ascii="Arial" w:eastAsia="Arial" w:hAnsi="Arial" w:cs="Arial"/>
          <w:b/>
          <w:bCs/>
          <w:sz w:val="24"/>
          <w:szCs w:val="24"/>
        </w:rPr>
        <w:t>Random oversampling</w:t>
      </w:r>
      <w:r>
        <w:rPr>
          <w:rFonts w:ascii="Arial" w:eastAsia="Arial" w:hAnsi="Arial" w:cs="Arial"/>
          <w:sz w:val="24"/>
          <w:szCs w:val="24"/>
        </w:rPr>
        <w:t xml:space="preserve"> of the Dropout (minority) class was applied on the training set only. The test set was kept at its natural distribution to give a realistic evaluation.</w:t>
      </w:r>
    </w:p>
    <w:p w14:paraId="22E8FF99" w14:textId="77777777" w:rsidR="00864B4A" w:rsidRDefault="00000000">
      <w:pPr>
        <w:spacing w:before="100"/>
        <w:jc w:val="center"/>
      </w:pPr>
      <w:r>
        <w:rPr>
          <w:noProof/>
        </w:rPr>
        <w:drawing>
          <wp:inline distT="0" distB="0" distL="0" distR="0" wp14:anchorId="520C36F1" wp14:editId="39A4A5BA">
            <wp:extent cx="4857750" cy="1762125"/>
            <wp:effectExtent l="0" t="0" r="0" b="0"/>
            <wp:docPr id="488191112" name="Picture 48819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857750" cy="1762125"/>
                    </a:xfrm>
                    <a:prstGeom prst="rect">
                      <a:avLst/>
                    </a:prstGeom>
                  </pic:spPr>
                </pic:pic>
              </a:graphicData>
            </a:graphic>
          </wp:inline>
        </w:drawing>
      </w:r>
    </w:p>
    <w:p w14:paraId="5FA2458E" w14:textId="77777777" w:rsidR="00864B4A" w:rsidRDefault="00000000">
      <w:pPr>
        <w:spacing w:before="40" w:after="180"/>
        <w:jc w:val="center"/>
      </w:pPr>
      <w:r>
        <w:rPr>
          <w:rFonts w:ascii="Arial" w:eastAsia="Arial" w:hAnsi="Arial" w:cs="Arial"/>
          <w:i/>
          <w:iCs/>
        </w:rPr>
        <w:t>Figure 2: Class distribution before (left) and after (right) oversampling. Training set balanced to 2,402 each; test set left at natural 601:284 ratio.</w:t>
      </w:r>
    </w:p>
    <w:p w14:paraId="6F534288" w14:textId="77777777" w:rsidR="00864B4A" w:rsidRDefault="00000000">
      <w:pPr>
        <w:pBdr>
          <w:bottom w:val="single" w:sz="6" w:space="4" w:color="1F4E79"/>
        </w:pBdr>
        <w:spacing w:before="300" w:after="120"/>
      </w:pPr>
      <w:r>
        <w:rPr>
          <w:rFonts w:ascii="Arial" w:eastAsia="Arial" w:hAnsi="Arial" w:cs="Arial"/>
          <w:b/>
          <w:bCs/>
          <w:color w:val="1F4E79"/>
          <w:sz w:val="28"/>
          <w:szCs w:val="28"/>
        </w:rPr>
        <w:t>3. Feature Engineering</w:t>
      </w:r>
    </w:p>
    <w:p w14:paraId="682C5576" w14:textId="77777777" w:rsidR="00864B4A" w:rsidRDefault="00000000">
      <w:pPr>
        <w:spacing w:after="100"/>
      </w:pPr>
      <w:r>
        <w:rPr>
          <w:rFonts w:ascii="Arial" w:eastAsia="Arial" w:hAnsi="Arial" w:cs="Arial"/>
          <w:sz w:val="24"/>
          <w:szCs w:val="24"/>
        </w:rPr>
        <w:lastRenderedPageBreak/>
        <w:t>Four new features were derived from raw academic performance columns based on domain understanding of how students engage with coursework.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864B4A" w14:paraId="4AAE3114"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07D78C07" w14:textId="77777777" w:rsidR="00864B4A" w:rsidRDefault="00000000">
            <w:r>
              <w:rPr>
                <w:rFonts w:ascii="Arial" w:eastAsia="Arial" w:hAnsi="Arial" w:cs="Arial"/>
                <w:b/>
                <w:bCs/>
                <w:color w:val="FFFFFF"/>
                <w:sz w:val="21"/>
                <w:szCs w:val="21"/>
              </w:rPr>
              <w:t>Feature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73239B31" w14:textId="77777777" w:rsidR="00864B4A" w:rsidRDefault="00000000">
            <w:pPr>
              <w:jc w:val="center"/>
            </w:pPr>
            <w:r>
              <w:rPr>
                <w:rFonts w:ascii="Arial" w:eastAsia="Arial" w:hAnsi="Arial" w:cs="Arial"/>
                <w:b/>
                <w:bCs/>
                <w:color w:val="FFFFFF"/>
                <w:sz w:val="21"/>
                <w:szCs w:val="21"/>
              </w:rPr>
              <w:t>Formula</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38059EE9" w14:textId="77777777" w:rsidR="00864B4A" w:rsidRDefault="00000000">
            <w:pPr>
              <w:jc w:val="center"/>
            </w:pPr>
            <w:r>
              <w:rPr>
                <w:rFonts w:ascii="Arial" w:eastAsia="Arial" w:hAnsi="Arial" w:cs="Arial"/>
                <w:b/>
                <w:bCs/>
                <w:color w:val="FFFFFF"/>
                <w:sz w:val="21"/>
                <w:szCs w:val="21"/>
              </w:rPr>
              <w:t>Rationale</w:t>
            </w:r>
          </w:p>
        </w:tc>
      </w:tr>
      <w:tr w:rsidR="00864B4A" w14:paraId="2066EA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79D9D57" w14:textId="77777777" w:rsidR="00864B4A" w:rsidRDefault="00000000">
            <w:r>
              <w:rPr>
                <w:rFonts w:ascii="Arial" w:eastAsia="Arial" w:hAnsi="Arial" w:cs="Arial"/>
              </w:rPr>
              <w:t>sem1_approval_rate</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4A9DA9D" w14:textId="77777777" w:rsidR="00864B4A" w:rsidRDefault="00000000">
            <w:pPr>
              <w:jc w:val="center"/>
            </w:pPr>
            <w:r>
              <w:rPr>
                <w:rFonts w:ascii="Arial" w:eastAsia="Arial" w:hAnsi="Arial" w:cs="Arial"/>
              </w:rPr>
              <w:t>Sem1 Approved / Sem1 Enrolled</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533481DD" w14:textId="77777777" w:rsidR="00864B4A" w:rsidRDefault="00000000">
            <w:pPr>
              <w:jc w:val="center"/>
            </w:pPr>
            <w:r>
              <w:rPr>
                <w:rFonts w:ascii="Arial" w:eastAsia="Arial" w:hAnsi="Arial" w:cs="Arial"/>
              </w:rPr>
              <w:t>A student enrolled in 6 units who passes only 1 (rate = 0.17) is a very different risk profile from one who passes all 6 (rate = 1.0). Raw approved count misses this.</w:t>
            </w:r>
          </w:p>
        </w:tc>
      </w:tr>
      <w:tr w:rsidR="00864B4A" w14:paraId="02771A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73B5992" w14:textId="77777777" w:rsidR="00864B4A" w:rsidRDefault="00000000">
            <w:r>
              <w:rPr>
                <w:rFonts w:ascii="Arial" w:eastAsia="Arial" w:hAnsi="Arial" w:cs="Arial"/>
              </w:rPr>
              <w:t>sem2_approval_rate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AE7FBF3" w14:textId="77777777" w:rsidR="00864B4A" w:rsidRDefault="00000000">
            <w:pPr>
              <w:jc w:val="center"/>
            </w:pPr>
            <w:r>
              <w:rPr>
                <w:rFonts w:ascii="Arial" w:eastAsia="Arial" w:hAnsi="Arial" w:cs="Arial"/>
              </w:rPr>
              <w:t>Sem2 Approved / Sem2 Enrolled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0B95ED0" w14:textId="77777777" w:rsidR="00864B4A" w:rsidRDefault="00000000">
            <w:pPr>
              <w:jc w:val="center"/>
            </w:pPr>
            <w:r>
              <w:rPr>
                <w:rFonts w:ascii="Arial" w:eastAsia="Arial" w:hAnsi="Arial" w:cs="Arial"/>
              </w:rPr>
              <w:t>Published research on this dataset identifies 2nd-semester approval rate as the single strongest academic predictor of dropout (</w:t>
            </w:r>
            <w:proofErr w:type="spellStart"/>
            <w:r>
              <w:rPr>
                <w:rFonts w:ascii="Arial" w:eastAsia="Arial" w:hAnsi="Arial" w:cs="Arial"/>
              </w:rPr>
              <w:t>Realinho</w:t>
            </w:r>
            <w:proofErr w:type="spellEnd"/>
            <w:r>
              <w:rPr>
                <w:rFonts w:ascii="Arial" w:eastAsia="Arial" w:hAnsi="Arial" w:cs="Arial"/>
              </w:rPr>
              <w:t xml:space="preserve"> et al., 2022).</w:t>
            </w:r>
          </w:p>
        </w:tc>
      </w:tr>
      <w:tr w:rsidR="00864B4A" w14:paraId="152B34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2E44FD0F" w14:textId="77777777" w:rsidR="00864B4A" w:rsidRDefault="00000000">
            <w:proofErr w:type="spellStart"/>
            <w:r>
              <w:rPr>
                <w:rFonts w:ascii="Arial" w:eastAsia="Arial" w:hAnsi="Arial" w:cs="Arial"/>
              </w:rPr>
              <w:t>total_approved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27AD043E" w14:textId="77777777" w:rsidR="00864B4A" w:rsidRDefault="00000000">
            <w:pPr>
              <w:jc w:val="center"/>
            </w:pPr>
            <w:r>
              <w:rPr>
                <w:rFonts w:ascii="Arial" w:eastAsia="Arial" w:hAnsi="Arial" w:cs="Arial"/>
              </w:rPr>
              <w:t>Sem1 + Sem2 Approved</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3887632" w14:textId="77777777" w:rsidR="00864B4A" w:rsidRDefault="00000000">
            <w:pPr>
              <w:jc w:val="center"/>
            </w:pPr>
            <w:r>
              <w:rPr>
                <w:rFonts w:ascii="Arial" w:eastAsia="Arial" w:hAnsi="Arial" w:cs="Arial"/>
              </w:rPr>
              <w:t>Cumulative academic progress across both semesters. Captures overall trajectory rather than a single-semester snapshot.</w:t>
            </w:r>
          </w:p>
        </w:tc>
      </w:tr>
      <w:tr w:rsidR="00864B4A" w14:paraId="18C421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58738C0" w14:textId="77777777" w:rsidR="00864B4A" w:rsidRDefault="00000000">
            <w:proofErr w:type="spellStart"/>
            <w:r>
              <w:rPr>
                <w:rFonts w:ascii="Arial" w:eastAsia="Arial" w:hAnsi="Arial" w:cs="Arial"/>
              </w:rPr>
              <w:t>avg_grade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F9900F5" w14:textId="77777777" w:rsidR="00864B4A" w:rsidRDefault="00000000">
            <w:pPr>
              <w:jc w:val="center"/>
            </w:pPr>
            <w:r>
              <w:rPr>
                <w:rFonts w:ascii="Arial" w:eastAsia="Arial" w:hAnsi="Arial" w:cs="Arial"/>
              </w:rPr>
              <w:t>(Sem1 Grade + Sem2 Grade) / 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BC67D5C" w14:textId="77777777" w:rsidR="00864B4A" w:rsidRDefault="00000000">
            <w:pPr>
              <w:jc w:val="center"/>
            </w:pPr>
            <w:r>
              <w:rPr>
                <w:rFonts w:ascii="Arial" w:eastAsia="Arial" w:hAnsi="Arial" w:cs="Arial"/>
              </w:rPr>
              <w:t>Combined grade indicator. Reduces collinearity between the two individual grade columns while preserving their shared signal.</w:t>
            </w:r>
          </w:p>
        </w:tc>
      </w:tr>
    </w:tbl>
    <w:p w14:paraId="375032E5" w14:textId="77777777" w:rsidR="00864B4A" w:rsidRDefault="00000000">
      <w:pPr>
        <w:spacing w:before="60" w:after="160"/>
      </w:pPr>
      <w:r>
        <w:rPr>
          <w:rFonts w:ascii="Arial" w:eastAsia="Arial" w:hAnsi="Arial" w:cs="Arial"/>
          <w:i/>
          <w:iCs/>
        </w:rPr>
        <w:t xml:space="preserve">All four engineered features showed stronger correlations with the </w:t>
      </w:r>
      <w:proofErr w:type="spellStart"/>
      <w:r>
        <w:rPr>
          <w:rFonts w:ascii="Arial" w:eastAsia="Arial" w:hAnsi="Arial" w:cs="Arial"/>
          <w:i/>
          <w:iCs/>
        </w:rPr>
        <w:t>Dropout_Binary</w:t>
      </w:r>
      <w:proofErr w:type="spellEnd"/>
      <w:r>
        <w:rPr>
          <w:rFonts w:ascii="Arial" w:eastAsia="Arial" w:hAnsi="Arial" w:cs="Arial"/>
          <w:i/>
          <w:iCs/>
        </w:rPr>
        <w:t xml:space="preserve"> target (r = -0.587 to -0.668) than their constituent raw columns, validating the feature engineering step.</w:t>
      </w:r>
    </w:p>
    <w:p w14:paraId="1ABD5B1A" w14:textId="77777777" w:rsidR="00864B4A" w:rsidRDefault="00000000">
      <w:pPr>
        <w:pBdr>
          <w:bottom w:val="single" w:sz="6" w:space="4" w:color="1F4E79"/>
        </w:pBdr>
        <w:spacing w:before="300" w:after="120"/>
      </w:pPr>
      <w:r>
        <w:rPr>
          <w:rFonts w:ascii="Arial" w:eastAsia="Arial" w:hAnsi="Arial" w:cs="Arial"/>
          <w:b/>
          <w:bCs/>
          <w:color w:val="1F4E79"/>
          <w:sz w:val="28"/>
          <w:szCs w:val="28"/>
        </w:rPr>
        <w:t>4. Exploratory Data Analysis</w:t>
      </w:r>
    </w:p>
    <w:p w14:paraId="6D5CBB1A" w14:textId="77777777" w:rsidR="00864B4A" w:rsidRDefault="00000000">
      <w:pPr>
        <w:spacing w:before="220" w:after="80"/>
      </w:pPr>
      <w:r>
        <w:rPr>
          <w:rFonts w:ascii="Arial" w:eastAsia="Arial" w:hAnsi="Arial" w:cs="Arial"/>
          <w:b/>
          <w:bCs/>
          <w:color w:val="2E75B6"/>
          <w:sz w:val="25"/>
          <w:szCs w:val="25"/>
        </w:rPr>
        <w:t>4.1 Target and Class Imbalance</w:t>
      </w:r>
    </w:p>
    <w:p w14:paraId="1982B94D" w14:textId="77777777" w:rsidR="00864B4A" w:rsidRDefault="00000000">
      <w:pPr>
        <w:spacing w:before="100"/>
        <w:jc w:val="center"/>
      </w:pPr>
      <w:r>
        <w:rPr>
          <w:noProof/>
        </w:rPr>
        <w:drawing>
          <wp:inline distT="0" distB="0" distL="0" distR="0" wp14:anchorId="7C7692CE" wp14:editId="6BEAD88D">
            <wp:extent cx="4857750" cy="1762125"/>
            <wp:effectExtent l="0" t="0" r="0" b="0"/>
            <wp:docPr id="79598678" name="Picture 79598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57750" cy="1762125"/>
                    </a:xfrm>
                    <a:prstGeom prst="rect">
                      <a:avLst/>
                    </a:prstGeom>
                  </pic:spPr>
                </pic:pic>
              </a:graphicData>
            </a:graphic>
          </wp:inline>
        </w:drawing>
      </w:r>
    </w:p>
    <w:p w14:paraId="470B8555" w14:textId="77777777" w:rsidR="00864B4A" w:rsidRDefault="00000000">
      <w:pPr>
        <w:spacing w:before="40" w:after="180"/>
        <w:jc w:val="center"/>
      </w:pPr>
      <w:r>
        <w:rPr>
          <w:rFonts w:ascii="Arial" w:eastAsia="Arial" w:hAnsi="Arial" w:cs="Arial"/>
          <w:i/>
          <w:iCs/>
        </w:rPr>
        <w:t>Figure 3: Three-class target distribution. Graduate students (49.9%) form the largest group; Dropouts (32.1%) are the minority class of interest.</w:t>
      </w:r>
    </w:p>
    <w:p w14:paraId="2006D6DD" w14:textId="77777777" w:rsidR="00864B4A" w:rsidRDefault="00864B4A">
      <w:pPr>
        <w:spacing w:after="60"/>
      </w:pPr>
    </w:p>
    <w:p w14:paraId="416D8C9D" w14:textId="77777777" w:rsidR="00864B4A" w:rsidRDefault="00000000">
      <w:pPr>
        <w:spacing w:before="100"/>
        <w:jc w:val="center"/>
      </w:pPr>
      <w:r>
        <w:rPr>
          <w:noProof/>
        </w:rPr>
        <w:lastRenderedPageBreak/>
        <w:drawing>
          <wp:inline distT="0" distB="0" distL="0" distR="0" wp14:anchorId="2B8292D5" wp14:editId="4B47C7BA">
            <wp:extent cx="3619500" cy="1952625"/>
            <wp:effectExtent l="0" t="0" r="0" b="0"/>
            <wp:docPr id="791768215" name="Picture 791768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1952625"/>
                    </a:xfrm>
                    <a:prstGeom prst="rect">
                      <a:avLst/>
                    </a:prstGeom>
                  </pic:spPr>
                </pic:pic>
              </a:graphicData>
            </a:graphic>
          </wp:inline>
        </w:drawing>
      </w:r>
    </w:p>
    <w:p w14:paraId="22B842F2" w14:textId="77777777" w:rsidR="00864B4A" w:rsidRDefault="00000000">
      <w:pPr>
        <w:spacing w:before="40" w:after="180"/>
        <w:jc w:val="center"/>
      </w:pPr>
      <w:r>
        <w:rPr>
          <w:rFonts w:ascii="Arial" w:eastAsia="Arial" w:hAnsi="Arial" w:cs="Arial"/>
          <w:i/>
          <w:iCs/>
        </w:rPr>
        <w:t xml:space="preserve">Figure 4: Binary class distribution. The 2.1:1 imbalance means accuracy alone is misleading, a model predicting </w:t>
      </w:r>
      <w:proofErr w:type="gramStart"/>
      <w:r>
        <w:rPr>
          <w:rFonts w:ascii="Arial" w:eastAsia="Arial" w:hAnsi="Arial" w:cs="Arial"/>
          <w:i/>
          <w:iCs/>
        </w:rPr>
        <w:t>Non-Dropout</w:t>
      </w:r>
      <w:proofErr w:type="gramEnd"/>
      <w:r>
        <w:rPr>
          <w:rFonts w:ascii="Arial" w:eastAsia="Arial" w:hAnsi="Arial" w:cs="Arial"/>
          <w:i/>
          <w:iCs/>
        </w:rPr>
        <w:t xml:space="preserve"> always gets 67.9% accuracy without catching a single dropout.</w:t>
      </w:r>
    </w:p>
    <w:p w14:paraId="11ED0493" w14:textId="77777777" w:rsidR="00864B4A" w:rsidRDefault="00000000">
      <w:pPr>
        <w:spacing w:before="220" w:after="80"/>
      </w:pPr>
      <w:r>
        <w:rPr>
          <w:rFonts w:ascii="Arial" w:eastAsia="Arial" w:hAnsi="Arial" w:cs="Arial"/>
          <w:b/>
          <w:bCs/>
          <w:color w:val="2E75B6"/>
          <w:sz w:val="25"/>
          <w:szCs w:val="25"/>
        </w:rPr>
        <w:t>4.2 Dropout Rate by Categorical Features</w:t>
      </w:r>
    </w:p>
    <w:p w14:paraId="4CD539E4" w14:textId="77777777" w:rsidR="00864B4A" w:rsidRDefault="00000000">
      <w:pPr>
        <w:spacing w:before="100"/>
        <w:jc w:val="center"/>
      </w:pPr>
      <w:r>
        <w:rPr>
          <w:noProof/>
        </w:rPr>
        <w:drawing>
          <wp:inline distT="0" distB="0" distL="0" distR="0" wp14:anchorId="1BC5F5F3" wp14:editId="14793AC7">
            <wp:extent cx="5238750" cy="2952750"/>
            <wp:effectExtent l="0" t="0" r="0" b="0"/>
            <wp:docPr id="233229078" name="Picture 233229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2952750"/>
                    </a:xfrm>
                    <a:prstGeom prst="rect">
                      <a:avLst/>
                    </a:prstGeom>
                  </pic:spPr>
                </pic:pic>
              </a:graphicData>
            </a:graphic>
          </wp:inline>
        </w:drawing>
      </w:r>
    </w:p>
    <w:p w14:paraId="2B1ACC67" w14:textId="77777777" w:rsidR="00864B4A" w:rsidRDefault="00000000">
      <w:pPr>
        <w:spacing w:before="40" w:after="180"/>
        <w:jc w:val="center"/>
      </w:pPr>
      <w:r>
        <w:rPr>
          <w:rFonts w:ascii="Arial" w:eastAsia="Arial" w:hAnsi="Arial" w:cs="Arial"/>
          <w:i/>
          <w:iCs/>
        </w:rPr>
        <w:t xml:space="preserve">Figure 5: Dropout rate by categorical features. Students with tuition fees </w:t>
      </w:r>
      <w:proofErr w:type="gramStart"/>
      <w:r>
        <w:rPr>
          <w:rFonts w:ascii="Arial" w:eastAsia="Arial" w:hAnsi="Arial" w:cs="Arial"/>
          <w:i/>
          <w:iCs/>
        </w:rPr>
        <w:t>not current</w:t>
      </w:r>
      <w:proofErr w:type="gramEnd"/>
      <w:r>
        <w:rPr>
          <w:rFonts w:ascii="Arial" w:eastAsia="Arial" w:hAnsi="Arial" w:cs="Arial"/>
          <w:i/>
          <w:iCs/>
        </w:rPr>
        <w:t xml:space="preserve"> drop out at over 70%, more than double the overall rate. Scholarship holders show the lowest dropout rate.</w:t>
      </w:r>
    </w:p>
    <w:p w14:paraId="3E204676" w14:textId="77777777" w:rsidR="00864B4A" w:rsidRDefault="00000000">
      <w:pPr>
        <w:spacing w:after="160"/>
      </w:pPr>
      <w:r>
        <w:rPr>
          <w:rFonts w:ascii="Arial" w:eastAsia="Arial" w:hAnsi="Arial" w:cs="Arial"/>
          <w:sz w:val="24"/>
          <w:szCs w:val="24"/>
        </w:rPr>
        <w:t>The categorical analysis reveals that financial indicators are among the strongest predictors. Students with outstanding tuition fees drop out at over 70%, nearly 2.3 times the overall rate of 32%. Scholarship holders have dramatically lower dropout rates, consistent with financial security removing the primary economic reason to leave. Evening students face higher risk, consistent with external demands of employment and family responsibilities.</w:t>
      </w:r>
    </w:p>
    <w:p w14:paraId="773BFBCC" w14:textId="77777777" w:rsidR="00864B4A" w:rsidRDefault="00000000">
      <w:pPr>
        <w:spacing w:before="220" w:after="80"/>
      </w:pPr>
      <w:r>
        <w:rPr>
          <w:rFonts w:ascii="Arial" w:eastAsia="Arial" w:hAnsi="Arial" w:cs="Arial"/>
          <w:b/>
          <w:bCs/>
          <w:color w:val="2E75B6"/>
          <w:sz w:val="25"/>
          <w:szCs w:val="25"/>
        </w:rPr>
        <w:t>4.3 Numeric Features by Outcome</w:t>
      </w:r>
    </w:p>
    <w:p w14:paraId="5337C6A1" w14:textId="77777777" w:rsidR="00864B4A" w:rsidRDefault="00000000">
      <w:pPr>
        <w:spacing w:before="100"/>
        <w:jc w:val="center"/>
      </w:pPr>
      <w:r>
        <w:rPr>
          <w:noProof/>
        </w:rPr>
        <w:lastRenderedPageBreak/>
        <w:drawing>
          <wp:inline distT="0" distB="0" distL="0" distR="0" wp14:anchorId="09D0B36C" wp14:editId="267FE285">
            <wp:extent cx="5238750" cy="1476375"/>
            <wp:effectExtent l="0" t="0" r="0" b="0"/>
            <wp:docPr id="271839581" name="Picture 27183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1476375"/>
                    </a:xfrm>
                    <a:prstGeom prst="rect">
                      <a:avLst/>
                    </a:prstGeom>
                  </pic:spPr>
                </pic:pic>
              </a:graphicData>
            </a:graphic>
          </wp:inline>
        </w:drawing>
      </w:r>
    </w:p>
    <w:p w14:paraId="1DCC02B4" w14:textId="77777777" w:rsidR="00864B4A" w:rsidRDefault="00000000">
      <w:pPr>
        <w:spacing w:before="40" w:after="180"/>
        <w:jc w:val="center"/>
      </w:pPr>
      <w:r>
        <w:rPr>
          <w:rFonts w:ascii="Arial" w:eastAsia="Arial" w:hAnsi="Arial" w:cs="Arial"/>
          <w:i/>
          <w:iCs/>
        </w:rPr>
        <w:t>Figure 6: Numeric features by student outcome. The 2nd-semester approved units chart shows the starkest separation: dropout students cluster almost entirely at zero, while graduates peak at 5-6 units.</w:t>
      </w:r>
    </w:p>
    <w:p w14:paraId="369082AA" w14:textId="77777777" w:rsidR="00864B4A" w:rsidRDefault="00864B4A">
      <w:pPr>
        <w:spacing w:after="60"/>
      </w:pPr>
    </w:p>
    <w:p w14:paraId="60F19457" w14:textId="77777777" w:rsidR="00864B4A" w:rsidRDefault="00000000">
      <w:pPr>
        <w:spacing w:before="100"/>
        <w:jc w:val="center"/>
      </w:pPr>
      <w:r>
        <w:rPr>
          <w:noProof/>
        </w:rPr>
        <w:drawing>
          <wp:inline distT="0" distB="0" distL="0" distR="0" wp14:anchorId="1321C935" wp14:editId="1230B546">
            <wp:extent cx="4000500" cy="3095625"/>
            <wp:effectExtent l="0" t="0" r="0" b="0"/>
            <wp:docPr id="1787210087" name="Picture 178721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3095625"/>
                    </a:xfrm>
                    <a:prstGeom prst="rect">
                      <a:avLst/>
                    </a:prstGeom>
                  </pic:spPr>
                </pic:pic>
              </a:graphicData>
            </a:graphic>
          </wp:inline>
        </w:drawing>
      </w:r>
    </w:p>
    <w:p w14:paraId="2ED4AC9E" w14:textId="77777777" w:rsidR="00864B4A" w:rsidRDefault="00000000">
      <w:pPr>
        <w:spacing w:before="40" w:after="180"/>
        <w:jc w:val="center"/>
      </w:pPr>
      <w:r>
        <w:rPr>
          <w:rFonts w:ascii="Arial" w:eastAsia="Arial" w:hAnsi="Arial" w:cs="Arial"/>
          <w:i/>
          <w:iCs/>
        </w:rPr>
        <w:t>Figure 7: Pearson correlation heatmap. 2nd-semester approved units (-0.61) and grade (-0.53) show the strongest correlations with dropout. Macroeconomic variables (GDP, Unemployment rate) show near-zero correlations.</w:t>
      </w:r>
    </w:p>
    <w:p w14:paraId="2FEEE92A" w14:textId="77777777" w:rsidR="00864B4A" w:rsidRDefault="00000000">
      <w:pPr>
        <w:spacing w:after="160"/>
      </w:pPr>
      <w:r>
        <w:rPr>
          <w:rFonts w:ascii="Arial" w:eastAsia="Arial" w:hAnsi="Arial" w:cs="Arial"/>
          <w:sz w:val="24"/>
          <w:szCs w:val="24"/>
        </w:rPr>
        <w:t>The correlation matrix also reveals high collinearity between 1st and 2nd semester variables (r &gt; 0.70), which motivated the engineered approval rate features that consolidate this signal more efficiently.</w:t>
      </w:r>
    </w:p>
    <w:p w14:paraId="7B73B9D6" w14:textId="77777777" w:rsidR="00864B4A" w:rsidRDefault="00000000">
      <w:pPr>
        <w:pBdr>
          <w:bottom w:val="single" w:sz="6" w:space="4" w:color="1F4E79"/>
        </w:pBdr>
        <w:spacing w:before="300" w:after="120"/>
      </w:pPr>
      <w:r>
        <w:rPr>
          <w:rFonts w:ascii="Arial" w:eastAsia="Arial" w:hAnsi="Arial" w:cs="Arial"/>
          <w:b/>
          <w:bCs/>
          <w:color w:val="1F4E79"/>
          <w:sz w:val="28"/>
          <w:szCs w:val="28"/>
        </w:rPr>
        <w:t>5. Model Tuning, Selection, and Justification</w:t>
      </w:r>
    </w:p>
    <w:p w14:paraId="21AD2ED2" w14:textId="77777777" w:rsidR="00864B4A" w:rsidRDefault="00000000">
      <w:pPr>
        <w:spacing w:before="220" w:after="80"/>
      </w:pPr>
      <w:r>
        <w:rPr>
          <w:rFonts w:ascii="Arial" w:eastAsia="Arial" w:hAnsi="Arial" w:cs="Arial"/>
          <w:b/>
          <w:bCs/>
          <w:color w:val="2E75B6"/>
          <w:sz w:val="25"/>
          <w:szCs w:val="25"/>
        </w:rPr>
        <w:t>5.1 Models Evaluated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864B4A" w14:paraId="0A9403A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0BE9ED4F" w14:textId="77777777" w:rsidR="00864B4A" w:rsidRDefault="00000000">
            <w:r>
              <w:rPr>
                <w:rFonts w:ascii="Arial" w:eastAsia="Arial" w:hAnsi="Arial" w:cs="Arial"/>
                <w:b/>
                <w:bCs/>
                <w:color w:val="FFFFFF"/>
                <w:sz w:val="21"/>
                <w:szCs w:val="21"/>
              </w:rPr>
              <w:t>Model</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284199F6" w14:textId="77777777" w:rsidR="00864B4A" w:rsidRDefault="00000000">
            <w:pPr>
              <w:jc w:val="center"/>
            </w:pPr>
            <w:r>
              <w:rPr>
                <w:rFonts w:ascii="Arial" w:eastAsia="Arial" w:hAnsi="Arial" w:cs="Arial"/>
                <w:b/>
                <w:bCs/>
                <w:color w:val="FFFFFF"/>
                <w:sz w:val="21"/>
                <w:szCs w:val="21"/>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77BC36EC" w14:textId="77777777" w:rsidR="00864B4A" w:rsidRDefault="00000000">
            <w:pPr>
              <w:jc w:val="center"/>
            </w:pPr>
            <w:r>
              <w:rPr>
                <w:rFonts w:ascii="Arial" w:eastAsia="Arial" w:hAnsi="Arial" w:cs="Arial"/>
                <w:b/>
                <w:bCs/>
                <w:color w:val="FFFFFF"/>
                <w:sz w:val="21"/>
                <w:szCs w:val="21"/>
              </w:rPr>
              <w:t>Why Included</w:t>
            </w:r>
          </w:p>
        </w:tc>
      </w:tr>
      <w:tr w:rsidR="00864B4A" w14:paraId="74D794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6B5D0AB0" w14:textId="77777777" w:rsidR="00864B4A" w:rsidRDefault="00000000">
            <w:r>
              <w:rPr>
                <w:rFonts w:ascii="Arial" w:eastAsia="Arial" w:hAnsi="Arial" w:cs="Arial"/>
              </w:rPr>
              <w:t>Logistic Regression</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6B6FE6CA" w14:textId="77777777" w:rsidR="00864B4A" w:rsidRDefault="00000000">
            <w:pPr>
              <w:jc w:val="center"/>
            </w:pPr>
            <w:r>
              <w:rPr>
                <w:rFonts w:ascii="Arial" w:eastAsia="Arial" w:hAnsi="Arial" w:cs="Arial"/>
              </w:rPr>
              <w:t>Linear</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EF5C01B" w14:textId="77777777" w:rsidR="00864B4A" w:rsidRDefault="00000000">
            <w:pPr>
              <w:jc w:val="center"/>
            </w:pPr>
            <w:r>
              <w:rPr>
                <w:rFonts w:ascii="Arial" w:eastAsia="Arial" w:hAnsi="Arial" w:cs="Arial"/>
              </w:rPr>
              <w:t>Interpretable baseline; produces odds ratios for each feature</w:t>
            </w:r>
          </w:p>
        </w:tc>
      </w:tr>
      <w:tr w:rsidR="00864B4A" w14:paraId="6F98B6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D76BFF3" w14:textId="77777777" w:rsidR="00864B4A" w:rsidRDefault="00000000">
            <w:r>
              <w:rPr>
                <w:rFonts w:ascii="Arial" w:eastAsia="Arial" w:hAnsi="Arial" w:cs="Arial"/>
              </w:rPr>
              <w:t>Naive Bayes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FAE82DA" w14:textId="77777777" w:rsidR="00864B4A" w:rsidRDefault="00000000">
            <w:pPr>
              <w:jc w:val="center"/>
            </w:pPr>
            <w:r>
              <w:rPr>
                <w:rFonts w:ascii="Arial" w:eastAsia="Arial" w:hAnsi="Arial" w:cs="Arial"/>
              </w:rPr>
              <w:t>Probabilistic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4DEBA2B" w14:textId="77777777" w:rsidR="00864B4A" w:rsidRDefault="00000000">
            <w:pPr>
              <w:jc w:val="center"/>
            </w:pPr>
            <w:r>
              <w:rPr>
                <w:rFonts w:ascii="Arial" w:eastAsia="Arial" w:hAnsi="Arial" w:cs="Arial"/>
              </w:rPr>
              <w:t>Fast probabilistic reference; assumes feature independence</w:t>
            </w:r>
          </w:p>
        </w:tc>
      </w:tr>
      <w:tr w:rsidR="00864B4A" w14:paraId="33046F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50984D0C" w14:textId="77777777" w:rsidR="00864B4A" w:rsidRDefault="00000000">
            <w:r>
              <w:rPr>
                <w:rFonts w:ascii="Arial" w:eastAsia="Arial" w:hAnsi="Arial" w:cs="Arial"/>
              </w:rPr>
              <w:t>Decision Tree</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7DD0A198" w14:textId="77777777" w:rsidR="00864B4A" w:rsidRDefault="00000000">
            <w:pPr>
              <w:jc w:val="center"/>
            </w:pPr>
            <w:r>
              <w:rPr>
                <w:rFonts w:ascii="Arial" w:eastAsia="Arial" w:hAnsi="Arial" w:cs="Arial"/>
              </w:rPr>
              <w:t>Tree, single</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47D43510" w14:textId="77777777" w:rsidR="00864B4A" w:rsidRDefault="00000000">
            <w:pPr>
              <w:jc w:val="center"/>
            </w:pPr>
            <w:r>
              <w:rPr>
                <w:rFonts w:ascii="Arial" w:eastAsia="Arial" w:hAnsi="Arial" w:cs="Arial"/>
              </w:rPr>
              <w:t>Intuitive, rule-based; prone to overfitting without pruning</w:t>
            </w:r>
          </w:p>
        </w:tc>
      </w:tr>
      <w:tr w:rsidR="00864B4A" w14:paraId="3FE4B7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C38F5D3" w14:textId="77777777" w:rsidR="00864B4A" w:rsidRDefault="00000000">
            <w:r>
              <w:rPr>
                <w:rFonts w:ascii="Arial" w:eastAsia="Arial" w:hAnsi="Arial" w:cs="Arial"/>
              </w:rPr>
              <w:lastRenderedPageBreak/>
              <w:t>Random Forest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03B8BED" w14:textId="77777777" w:rsidR="00864B4A" w:rsidRDefault="00000000">
            <w:pPr>
              <w:jc w:val="center"/>
            </w:pPr>
            <w:r>
              <w:rPr>
                <w:rFonts w:ascii="Arial" w:eastAsia="Arial" w:hAnsi="Arial" w:cs="Arial"/>
              </w:rPr>
              <w:t>Ensemble, trees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773C8A2" w14:textId="77777777" w:rsidR="00864B4A" w:rsidRDefault="00000000">
            <w:pPr>
              <w:jc w:val="center"/>
            </w:pPr>
            <w:r>
              <w:rPr>
                <w:rFonts w:ascii="Arial" w:eastAsia="Arial" w:hAnsi="Arial" w:cs="Arial"/>
              </w:rPr>
              <w:t>Reduces overfitting vs single tree; robust to correlated features</w:t>
            </w:r>
          </w:p>
        </w:tc>
      </w:tr>
      <w:tr w:rsidR="00864B4A" w14:paraId="10BEEB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44701CF1" w14:textId="77777777" w:rsidR="00864B4A" w:rsidRDefault="00000000">
            <w:r>
              <w:rPr>
                <w:rFonts w:ascii="Arial" w:eastAsia="Arial" w:hAnsi="Arial" w:cs="Arial"/>
              </w:rPr>
              <w:t>Gradient Boosting</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C132557" w14:textId="77777777" w:rsidR="00864B4A" w:rsidRDefault="00000000">
            <w:pPr>
              <w:jc w:val="center"/>
            </w:pPr>
            <w:r>
              <w:rPr>
                <w:rFonts w:ascii="Arial" w:eastAsia="Arial" w:hAnsi="Arial" w:cs="Arial"/>
              </w:rPr>
              <w:t>Ensemble, boosting</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258C41A4" w14:textId="77777777" w:rsidR="00864B4A" w:rsidRDefault="00000000">
            <w:pPr>
              <w:jc w:val="center"/>
            </w:pPr>
            <w:r>
              <w:rPr>
                <w:rFonts w:ascii="Arial" w:eastAsia="Arial" w:hAnsi="Arial" w:cs="Arial"/>
              </w:rPr>
              <w:t xml:space="preserve">Sequential error correction; </w:t>
            </w:r>
            <w:proofErr w:type="gramStart"/>
            <w:r>
              <w:rPr>
                <w:rFonts w:ascii="Arial" w:eastAsia="Arial" w:hAnsi="Arial" w:cs="Arial"/>
              </w:rPr>
              <w:t>typically</w:t>
            </w:r>
            <w:proofErr w:type="gramEnd"/>
            <w:r>
              <w:rPr>
                <w:rFonts w:ascii="Arial" w:eastAsia="Arial" w:hAnsi="Arial" w:cs="Arial"/>
              </w:rPr>
              <w:t xml:space="preserve"> strongest on tabular data</w:t>
            </w:r>
          </w:p>
        </w:tc>
      </w:tr>
    </w:tbl>
    <w:p w14:paraId="075F31D4" w14:textId="77777777" w:rsidR="00864B4A" w:rsidRDefault="00000000">
      <w:pPr>
        <w:spacing w:before="60" w:after="100"/>
      </w:pPr>
      <w:r>
        <w:rPr>
          <w:rFonts w:ascii="Arial" w:eastAsia="Arial" w:hAnsi="Arial" w:cs="Arial"/>
          <w:i/>
          <w:iCs/>
        </w:rPr>
        <w:t>SVM excluded per group assignment constraints.</w:t>
      </w:r>
    </w:p>
    <w:p w14:paraId="6A074EEE" w14:textId="77777777" w:rsidR="00864B4A" w:rsidRDefault="00000000">
      <w:pPr>
        <w:spacing w:before="220" w:after="80"/>
      </w:pPr>
      <w:r>
        <w:rPr>
          <w:rFonts w:ascii="Arial" w:eastAsia="Arial" w:hAnsi="Arial" w:cs="Arial"/>
          <w:b/>
          <w:bCs/>
          <w:color w:val="2E75B6"/>
          <w:sz w:val="25"/>
          <w:szCs w:val="25"/>
        </w:rPr>
        <w:t>5.2 Hyperparameter Tuning</w:t>
      </w:r>
    </w:p>
    <w:p w14:paraId="356BF427" w14:textId="77777777" w:rsidR="00864B4A" w:rsidRDefault="00000000">
      <w:pPr>
        <w:spacing w:after="80"/>
      </w:pPr>
      <w:proofErr w:type="spellStart"/>
      <w:r>
        <w:rPr>
          <w:rFonts w:ascii="Arial" w:eastAsia="Arial" w:hAnsi="Arial" w:cs="Arial"/>
          <w:sz w:val="24"/>
          <w:szCs w:val="24"/>
        </w:rPr>
        <w:t>GridSearchCV</w:t>
      </w:r>
      <w:proofErr w:type="spellEnd"/>
      <w:r>
        <w:rPr>
          <w:rFonts w:ascii="Arial" w:eastAsia="Arial" w:hAnsi="Arial" w:cs="Arial"/>
          <w:sz w:val="24"/>
          <w:szCs w:val="24"/>
        </w:rPr>
        <w:t xml:space="preserve"> with 3-fold </w:t>
      </w:r>
      <w:proofErr w:type="spellStart"/>
      <w:r>
        <w:rPr>
          <w:rFonts w:ascii="Arial" w:eastAsia="Arial" w:hAnsi="Arial" w:cs="Arial"/>
          <w:sz w:val="24"/>
          <w:szCs w:val="24"/>
        </w:rPr>
        <w:t>StratifiedKFold</w:t>
      </w:r>
      <w:proofErr w:type="spellEnd"/>
      <w:r>
        <w:rPr>
          <w:rFonts w:ascii="Arial" w:eastAsia="Arial" w:hAnsi="Arial" w:cs="Arial"/>
          <w:sz w:val="24"/>
          <w:szCs w:val="24"/>
        </w:rPr>
        <w:t xml:space="preserve"> cross-validation was applied to four models. The scoring metric was </w:t>
      </w:r>
      <w:r>
        <w:rPr>
          <w:rFonts w:ascii="Arial" w:eastAsia="Arial" w:hAnsi="Arial" w:cs="Arial"/>
          <w:b/>
          <w:bCs/>
          <w:sz w:val="24"/>
          <w:szCs w:val="24"/>
        </w:rPr>
        <w:t>ROC-AUC</w:t>
      </w:r>
      <w:r>
        <w:rPr>
          <w:rFonts w:ascii="Arial" w:eastAsia="Arial" w:hAnsi="Arial" w:cs="Arial"/>
          <w:sz w:val="24"/>
          <w:szCs w:val="24"/>
        </w:rPr>
        <w:t xml:space="preserve"> rather than accuracy, because ROC-AUC is threshold-independent and </w:t>
      </w:r>
      <w:proofErr w:type="spellStart"/>
      <w:r>
        <w:rPr>
          <w:rFonts w:ascii="Arial" w:eastAsia="Arial" w:hAnsi="Arial" w:cs="Arial"/>
          <w:sz w:val="24"/>
          <w:szCs w:val="24"/>
        </w:rPr>
        <w:t>penalises</w:t>
      </w:r>
      <w:proofErr w:type="spellEnd"/>
      <w:r>
        <w:rPr>
          <w:rFonts w:ascii="Arial" w:eastAsia="Arial" w:hAnsi="Arial" w:cs="Arial"/>
          <w:sz w:val="24"/>
          <w:szCs w:val="24"/>
        </w:rPr>
        <w:t xml:space="preserve"> models that perform well on the majority class while failing on the minority class, the core risk with imbalanced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6"/>
        <w:gridCol w:w="3530"/>
        <w:gridCol w:w="2093"/>
        <w:gridCol w:w="1011"/>
      </w:tblGrid>
      <w:tr w:rsidR="00864B4A" w14:paraId="05ABC50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09824108" w14:textId="77777777" w:rsidR="00864B4A" w:rsidRDefault="00000000">
            <w:r>
              <w:rPr>
                <w:rFonts w:ascii="Arial" w:eastAsia="Arial" w:hAnsi="Arial" w:cs="Arial"/>
                <w:b/>
                <w:bCs/>
                <w:color w:val="FFFFFF"/>
                <w:sz w:val="21"/>
                <w:szCs w:val="21"/>
              </w:rPr>
              <w:t>Model</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6505809C" w14:textId="77777777" w:rsidR="00864B4A" w:rsidRDefault="00000000">
            <w:pPr>
              <w:jc w:val="center"/>
            </w:pPr>
            <w:r>
              <w:rPr>
                <w:rFonts w:ascii="Arial" w:eastAsia="Arial" w:hAnsi="Arial" w:cs="Arial"/>
                <w:b/>
                <w:bCs/>
                <w:color w:val="FFFFFF"/>
                <w:sz w:val="21"/>
                <w:szCs w:val="21"/>
              </w:rPr>
              <w:t>Best Parameters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F23BD10" w14:textId="77777777" w:rsidR="00864B4A" w:rsidRDefault="00000000">
            <w:pPr>
              <w:jc w:val="center"/>
            </w:pPr>
            <w:r>
              <w:rPr>
                <w:rFonts w:ascii="Arial" w:eastAsia="Arial" w:hAnsi="Arial" w:cs="Arial"/>
                <w:b/>
                <w:bCs/>
                <w:color w:val="FFFFFF"/>
                <w:sz w:val="21"/>
                <w:szCs w:val="21"/>
              </w:rPr>
              <w:t>CV AUC</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3918C0DE" w14:textId="77777777" w:rsidR="00864B4A" w:rsidRDefault="00000000">
            <w:pPr>
              <w:jc w:val="center"/>
            </w:pPr>
            <w:r>
              <w:rPr>
                <w:rFonts w:ascii="Arial" w:eastAsia="Arial" w:hAnsi="Arial" w:cs="Arial"/>
                <w:b/>
                <w:bCs/>
                <w:color w:val="FFFFFF"/>
                <w:sz w:val="21"/>
                <w:szCs w:val="21"/>
              </w:rPr>
              <w:t>Change</w:t>
            </w:r>
          </w:p>
        </w:tc>
      </w:tr>
      <w:tr w:rsidR="00864B4A" w14:paraId="2301DE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29B1DF0E" w14:textId="77777777" w:rsidR="00864B4A" w:rsidRDefault="00000000">
            <w:r>
              <w:rPr>
                <w:rFonts w:ascii="Arial" w:eastAsia="Arial" w:hAnsi="Arial" w:cs="Arial"/>
              </w:rPr>
              <w:t>Logistic Regression</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27C6E332" w14:textId="77777777" w:rsidR="00864B4A" w:rsidRDefault="00000000">
            <w:pPr>
              <w:jc w:val="center"/>
            </w:pPr>
            <w:r>
              <w:rPr>
                <w:rFonts w:ascii="Arial" w:eastAsia="Arial" w:hAnsi="Arial" w:cs="Arial"/>
              </w:rPr>
              <w:t>C=0.1, penalty=l2</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406B71B" w14:textId="77777777" w:rsidR="00864B4A" w:rsidRDefault="00000000">
            <w:pPr>
              <w:jc w:val="center"/>
            </w:pPr>
            <w:r>
              <w:rPr>
                <w:rFonts w:ascii="Arial" w:eastAsia="Arial" w:hAnsi="Arial" w:cs="Arial"/>
              </w:rPr>
              <w:t>0.927</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60AB344A" w14:textId="77777777" w:rsidR="00864B4A" w:rsidRDefault="00000000">
            <w:pPr>
              <w:jc w:val="center"/>
            </w:pPr>
            <w:r>
              <w:rPr>
                <w:rFonts w:ascii="Arial" w:eastAsia="Arial" w:hAnsi="Arial" w:cs="Arial"/>
              </w:rPr>
              <w:t>+0.001</w:t>
            </w:r>
          </w:p>
        </w:tc>
      </w:tr>
      <w:tr w:rsidR="00864B4A" w14:paraId="395ADC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9C31DF1" w14:textId="77777777" w:rsidR="00864B4A" w:rsidRDefault="00000000">
            <w:r>
              <w:rPr>
                <w:rFonts w:ascii="Arial" w:eastAsia="Arial" w:hAnsi="Arial" w:cs="Arial"/>
              </w:rPr>
              <w:t>Naive Bayes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D6056CD" w14:textId="77777777" w:rsidR="00864B4A" w:rsidRDefault="00000000">
            <w:pPr>
              <w:jc w:val="center"/>
            </w:pPr>
            <w:r>
              <w:rPr>
                <w:rFonts w:ascii="Arial" w:eastAsia="Arial" w:hAnsi="Arial" w:cs="Arial"/>
              </w:rPr>
              <w:t>No tuning (no hyperparameters)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3EEF5C7" w14:textId="77777777" w:rsidR="00864B4A" w:rsidRDefault="00000000">
            <w:pPr>
              <w:jc w:val="center"/>
            </w:pPr>
            <w:r>
              <w:rPr>
                <w:rFonts w:ascii="Arial" w:eastAsia="Arial" w:hAnsi="Arial" w:cs="Arial"/>
              </w:rPr>
              <w:t>0.885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1579E26" w14:textId="77777777" w:rsidR="00864B4A" w:rsidRDefault="00000000">
            <w:pPr>
              <w:jc w:val="center"/>
            </w:pPr>
            <w:r>
              <w:rPr>
                <w:rFonts w:ascii="Arial" w:eastAsia="Arial" w:hAnsi="Arial" w:cs="Arial"/>
              </w:rPr>
              <w:t xml:space="preserve">, </w:t>
            </w:r>
          </w:p>
        </w:tc>
      </w:tr>
      <w:tr w:rsidR="00864B4A" w14:paraId="0C8271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6DD8DC6F" w14:textId="77777777" w:rsidR="00864B4A" w:rsidRDefault="00000000">
            <w:r>
              <w:rPr>
                <w:rFonts w:ascii="Arial" w:eastAsia="Arial" w:hAnsi="Arial" w:cs="Arial"/>
              </w:rPr>
              <w:t>Decision Tree</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38D84B6" w14:textId="77777777" w:rsidR="00864B4A" w:rsidRDefault="00000000">
            <w:pPr>
              <w:jc w:val="center"/>
            </w:pPr>
            <w:proofErr w:type="spellStart"/>
            <w:r>
              <w:rPr>
                <w:rFonts w:ascii="Arial" w:eastAsia="Arial" w:hAnsi="Arial" w:cs="Arial"/>
              </w:rPr>
              <w:t>max_depth</w:t>
            </w:r>
            <w:proofErr w:type="spellEnd"/>
            <w:r>
              <w:rPr>
                <w:rFonts w:ascii="Arial" w:eastAsia="Arial" w:hAnsi="Arial" w:cs="Arial"/>
              </w:rPr>
              <w:t xml:space="preserve">=10, </w:t>
            </w:r>
            <w:proofErr w:type="spellStart"/>
            <w:r>
              <w:rPr>
                <w:rFonts w:ascii="Arial" w:eastAsia="Arial" w:hAnsi="Arial" w:cs="Arial"/>
              </w:rPr>
              <w:t>min_samples_split</w:t>
            </w:r>
            <w:proofErr w:type="spellEnd"/>
            <w:r>
              <w:rPr>
                <w:rFonts w:ascii="Arial" w:eastAsia="Arial" w:hAnsi="Arial" w:cs="Arial"/>
              </w:rPr>
              <w:t>=2</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572913A8" w14:textId="77777777" w:rsidR="00864B4A" w:rsidRDefault="00000000">
            <w:pPr>
              <w:jc w:val="center"/>
            </w:pPr>
            <w:r>
              <w:rPr>
                <w:rFonts w:ascii="Arial" w:eastAsia="Arial" w:hAnsi="Arial" w:cs="Arial"/>
              </w:rPr>
              <w:t>0.800</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5DE3F031" w14:textId="77777777" w:rsidR="00864B4A" w:rsidRDefault="00000000">
            <w:pPr>
              <w:jc w:val="center"/>
            </w:pPr>
            <w:r>
              <w:rPr>
                <w:rFonts w:ascii="Arial" w:eastAsia="Arial" w:hAnsi="Arial" w:cs="Arial"/>
              </w:rPr>
              <w:t>+0.027</w:t>
            </w:r>
          </w:p>
        </w:tc>
      </w:tr>
      <w:tr w:rsidR="00864B4A" w14:paraId="3C2B30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34FC694" w14:textId="77777777" w:rsidR="00864B4A" w:rsidRDefault="00000000">
            <w:r>
              <w:rPr>
                <w:rFonts w:ascii="Arial" w:eastAsia="Arial" w:hAnsi="Arial" w:cs="Arial"/>
              </w:rPr>
              <w:t>Random Forest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681CF3E" w14:textId="77777777" w:rsidR="00864B4A" w:rsidRDefault="00000000">
            <w:pPr>
              <w:jc w:val="center"/>
            </w:pPr>
            <w:proofErr w:type="spellStart"/>
            <w:r>
              <w:rPr>
                <w:rFonts w:ascii="Arial" w:eastAsia="Arial" w:hAnsi="Arial" w:cs="Arial"/>
              </w:rPr>
              <w:t>n_estimators</w:t>
            </w:r>
            <w:proofErr w:type="spellEnd"/>
            <w:r>
              <w:rPr>
                <w:rFonts w:ascii="Arial" w:eastAsia="Arial" w:hAnsi="Arial" w:cs="Arial"/>
              </w:rPr>
              <w:t xml:space="preserve">=200, </w:t>
            </w:r>
            <w:proofErr w:type="spellStart"/>
            <w:r>
              <w:rPr>
                <w:rFonts w:ascii="Arial" w:eastAsia="Arial" w:hAnsi="Arial" w:cs="Arial"/>
              </w:rPr>
              <w:t>max_depth</w:t>
            </w:r>
            <w:proofErr w:type="spellEnd"/>
            <w:r>
              <w:rPr>
                <w:rFonts w:ascii="Arial" w:eastAsia="Arial" w:hAnsi="Arial" w:cs="Arial"/>
              </w:rPr>
              <w:t>=None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CF84F32" w14:textId="77777777" w:rsidR="00864B4A" w:rsidRDefault="00000000">
            <w:pPr>
              <w:jc w:val="center"/>
            </w:pPr>
            <w:r>
              <w:rPr>
                <w:rFonts w:ascii="Arial" w:eastAsia="Arial" w:hAnsi="Arial" w:cs="Arial"/>
              </w:rPr>
              <w:t>0.931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D03218F" w14:textId="77777777" w:rsidR="00864B4A" w:rsidRDefault="00000000">
            <w:pPr>
              <w:jc w:val="center"/>
            </w:pPr>
            <w:r>
              <w:rPr>
                <w:rFonts w:ascii="Arial" w:eastAsia="Arial" w:hAnsi="Arial" w:cs="Arial"/>
              </w:rPr>
              <w:t>+0.000</w:t>
            </w:r>
          </w:p>
        </w:tc>
      </w:tr>
      <w:tr w:rsidR="00864B4A" w14:paraId="54FAD9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5FE16EBF" w14:textId="77777777" w:rsidR="00864B4A" w:rsidRDefault="00000000">
            <w:r>
              <w:rPr>
                <w:rFonts w:ascii="Arial" w:eastAsia="Arial" w:hAnsi="Arial" w:cs="Arial"/>
              </w:rPr>
              <w:t>Gradient Boosting</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666287A6" w14:textId="77777777" w:rsidR="00864B4A" w:rsidRDefault="00000000">
            <w:pPr>
              <w:jc w:val="center"/>
            </w:pPr>
            <w:proofErr w:type="spellStart"/>
            <w:r>
              <w:rPr>
                <w:rFonts w:ascii="Arial" w:eastAsia="Arial" w:hAnsi="Arial" w:cs="Arial"/>
              </w:rPr>
              <w:t>lr</w:t>
            </w:r>
            <w:proofErr w:type="spellEnd"/>
            <w:r>
              <w:rPr>
                <w:rFonts w:ascii="Arial" w:eastAsia="Arial" w:hAnsi="Arial" w:cs="Arial"/>
              </w:rPr>
              <w:t xml:space="preserve">=0.1, </w:t>
            </w:r>
            <w:proofErr w:type="spellStart"/>
            <w:r>
              <w:rPr>
                <w:rFonts w:ascii="Arial" w:eastAsia="Arial" w:hAnsi="Arial" w:cs="Arial"/>
              </w:rPr>
              <w:t>max_depth</w:t>
            </w:r>
            <w:proofErr w:type="spellEnd"/>
            <w:r>
              <w:rPr>
                <w:rFonts w:ascii="Arial" w:eastAsia="Arial" w:hAnsi="Arial" w:cs="Arial"/>
              </w:rPr>
              <w:t xml:space="preserve">=5, </w:t>
            </w:r>
            <w:proofErr w:type="spellStart"/>
            <w:r>
              <w:rPr>
                <w:rFonts w:ascii="Arial" w:eastAsia="Arial" w:hAnsi="Arial" w:cs="Arial"/>
              </w:rPr>
              <w:t>n_estimators</w:t>
            </w:r>
            <w:proofErr w:type="spellEnd"/>
            <w:r>
              <w:rPr>
                <w:rFonts w:ascii="Arial" w:eastAsia="Arial" w:hAnsi="Arial" w:cs="Arial"/>
              </w:rPr>
              <w:t>=100</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6CFAEB94" w14:textId="77777777" w:rsidR="00864B4A" w:rsidRDefault="00000000">
            <w:pPr>
              <w:jc w:val="center"/>
            </w:pPr>
            <w:r>
              <w:rPr>
                <w:rFonts w:ascii="Arial" w:eastAsia="Arial" w:hAnsi="Arial" w:cs="Arial"/>
              </w:rPr>
              <w:t>0.936</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712C8BC4" w14:textId="77777777" w:rsidR="00864B4A" w:rsidRDefault="00000000">
            <w:pPr>
              <w:jc w:val="center"/>
            </w:pPr>
            <w:r>
              <w:rPr>
                <w:rFonts w:ascii="Arial" w:eastAsia="Arial" w:hAnsi="Arial" w:cs="Arial"/>
              </w:rPr>
              <w:t>+0.000</w:t>
            </w:r>
          </w:p>
        </w:tc>
      </w:tr>
    </w:tbl>
    <w:p w14:paraId="3686954A" w14:textId="77777777" w:rsidR="00864B4A" w:rsidRDefault="00864B4A">
      <w:pPr>
        <w:spacing w:after="160"/>
      </w:pPr>
    </w:p>
    <w:p w14:paraId="641A02F6" w14:textId="77777777" w:rsidR="00864B4A" w:rsidRDefault="00000000">
      <w:pPr>
        <w:spacing w:before="220" w:after="80"/>
      </w:pPr>
      <w:r>
        <w:rPr>
          <w:rFonts w:ascii="Arial" w:eastAsia="Arial" w:hAnsi="Arial" w:cs="Arial"/>
          <w:b/>
          <w:bCs/>
          <w:color w:val="2E75B6"/>
          <w:sz w:val="25"/>
          <w:szCs w:val="25"/>
        </w:rPr>
        <w:t>5.3 Base and Tuned Model Results</w:t>
      </w:r>
    </w:p>
    <w:p w14:paraId="54F0715B" w14:textId="77777777" w:rsidR="00864B4A" w:rsidRDefault="00000000">
      <w:pPr>
        <w:spacing w:before="100"/>
        <w:jc w:val="center"/>
      </w:pPr>
      <w:r>
        <w:rPr>
          <w:noProof/>
        </w:rPr>
        <w:drawing>
          <wp:inline distT="0" distB="0" distL="0" distR="0" wp14:anchorId="71A6E8B0" wp14:editId="2B3992DD">
            <wp:extent cx="5286375" cy="1238250"/>
            <wp:effectExtent l="0" t="0" r="0" b="0"/>
            <wp:docPr id="1851873968" name="Picture 1851873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86375" cy="1238250"/>
                    </a:xfrm>
                    <a:prstGeom prst="rect">
                      <a:avLst/>
                    </a:prstGeom>
                  </pic:spPr>
                </pic:pic>
              </a:graphicData>
            </a:graphic>
          </wp:inline>
        </w:drawing>
      </w:r>
    </w:p>
    <w:p w14:paraId="27398FAB" w14:textId="77777777" w:rsidR="00864B4A" w:rsidRDefault="00000000">
      <w:pPr>
        <w:spacing w:before="40" w:after="180"/>
        <w:jc w:val="center"/>
      </w:pPr>
      <w:r>
        <w:rPr>
          <w:rFonts w:ascii="Arial" w:eastAsia="Arial" w:hAnsi="Arial" w:cs="Arial"/>
          <w:i/>
          <w:iCs/>
        </w:rPr>
        <w:t>Figure 8: Base model confusion matrices. False negatives (bottom-left) are the highest-cost error, students who will drop out but the model predicted safe. Gradient Boosting produces the fewest false negatives.</w:t>
      </w:r>
    </w:p>
    <w:p w14:paraId="66496444" w14:textId="77777777" w:rsidR="00864B4A" w:rsidRDefault="00864B4A">
      <w:pPr>
        <w:spacing w:after="60"/>
      </w:pPr>
    </w:p>
    <w:p w14:paraId="28987A0B" w14:textId="77777777" w:rsidR="00864B4A" w:rsidRDefault="00000000">
      <w:pPr>
        <w:spacing w:before="100"/>
        <w:jc w:val="center"/>
      </w:pPr>
      <w:r>
        <w:rPr>
          <w:noProof/>
        </w:rPr>
        <w:lastRenderedPageBreak/>
        <w:drawing>
          <wp:inline distT="0" distB="0" distL="0" distR="0" wp14:anchorId="5AC3E38D" wp14:editId="27FD8C10">
            <wp:extent cx="3810000" cy="2952750"/>
            <wp:effectExtent l="0" t="0" r="0" b="0"/>
            <wp:docPr id="2076979852" name="Picture 207697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2952750"/>
                    </a:xfrm>
                    <a:prstGeom prst="rect">
                      <a:avLst/>
                    </a:prstGeom>
                  </pic:spPr>
                </pic:pic>
              </a:graphicData>
            </a:graphic>
          </wp:inline>
        </w:drawing>
      </w:r>
    </w:p>
    <w:p w14:paraId="7C8EBCB4" w14:textId="77777777" w:rsidR="00864B4A" w:rsidRDefault="00000000">
      <w:pPr>
        <w:spacing w:before="40" w:after="180"/>
        <w:jc w:val="center"/>
      </w:pPr>
      <w:r>
        <w:rPr>
          <w:rFonts w:ascii="Arial" w:eastAsia="Arial" w:hAnsi="Arial" w:cs="Arial"/>
          <w:i/>
          <w:iCs/>
        </w:rPr>
        <w:t>Figure 9: Base model ROC curves. Gradient Boosting (AUC=0.936) and Random Forest (AUC=0.931) clearly outperform Decision Tree (AUC=0.773) and Naive Bayes (AUC=0.885).</w:t>
      </w:r>
    </w:p>
    <w:p w14:paraId="0AEA34E3" w14:textId="77777777" w:rsidR="00864B4A" w:rsidRDefault="00864B4A">
      <w:pPr>
        <w:spacing w:after="60"/>
      </w:pPr>
    </w:p>
    <w:p w14:paraId="55FBA6BB" w14:textId="77777777" w:rsidR="00864B4A" w:rsidRDefault="00000000">
      <w:pPr>
        <w:spacing w:before="100"/>
        <w:jc w:val="center"/>
      </w:pPr>
      <w:r>
        <w:rPr>
          <w:noProof/>
        </w:rPr>
        <w:drawing>
          <wp:inline distT="0" distB="0" distL="0" distR="0" wp14:anchorId="44F3149C" wp14:editId="3C6A737F">
            <wp:extent cx="5286375" cy="1238250"/>
            <wp:effectExtent l="0" t="0" r="0" b="0"/>
            <wp:docPr id="1881057411" name="Picture 1881057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86375" cy="1238250"/>
                    </a:xfrm>
                    <a:prstGeom prst="rect">
                      <a:avLst/>
                    </a:prstGeom>
                  </pic:spPr>
                </pic:pic>
              </a:graphicData>
            </a:graphic>
          </wp:inline>
        </w:drawing>
      </w:r>
    </w:p>
    <w:p w14:paraId="32382B9A" w14:textId="77777777" w:rsidR="00864B4A" w:rsidRDefault="00000000">
      <w:pPr>
        <w:spacing w:before="40" w:after="180"/>
        <w:jc w:val="center"/>
      </w:pPr>
      <w:r>
        <w:rPr>
          <w:rFonts w:ascii="Arial" w:eastAsia="Arial" w:hAnsi="Arial" w:cs="Arial"/>
          <w:i/>
          <w:iCs/>
        </w:rPr>
        <w:t xml:space="preserve">Figure 10: Tuned model confusion matrices. After </w:t>
      </w:r>
      <w:proofErr w:type="spellStart"/>
      <w:r>
        <w:rPr>
          <w:rFonts w:ascii="Arial" w:eastAsia="Arial" w:hAnsi="Arial" w:cs="Arial"/>
          <w:i/>
          <w:iCs/>
        </w:rPr>
        <w:t>GridSearchCV</w:t>
      </w:r>
      <w:proofErr w:type="spellEnd"/>
      <w:r>
        <w:rPr>
          <w:rFonts w:ascii="Arial" w:eastAsia="Arial" w:hAnsi="Arial" w:cs="Arial"/>
          <w:i/>
          <w:iCs/>
        </w:rPr>
        <w:t xml:space="preserve"> tuning, Gradient Boosting (Tuned) achieves the best false-negative reduction while maintaining strong true-positive rates.</w:t>
      </w:r>
    </w:p>
    <w:p w14:paraId="2FED7A5A" w14:textId="77777777" w:rsidR="00864B4A" w:rsidRDefault="00864B4A">
      <w:pPr>
        <w:spacing w:after="60"/>
      </w:pPr>
    </w:p>
    <w:p w14:paraId="447BAC81" w14:textId="77777777" w:rsidR="00864B4A" w:rsidRDefault="00000000">
      <w:pPr>
        <w:spacing w:before="100"/>
        <w:jc w:val="center"/>
      </w:pPr>
      <w:r>
        <w:rPr>
          <w:noProof/>
        </w:rPr>
        <w:drawing>
          <wp:inline distT="0" distB="0" distL="0" distR="0" wp14:anchorId="5ADDAC45" wp14:editId="0526CACE">
            <wp:extent cx="3810000" cy="2952750"/>
            <wp:effectExtent l="0" t="0" r="0" b="0"/>
            <wp:docPr id="1305096623" name="Picture 1305096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2952750"/>
                    </a:xfrm>
                    <a:prstGeom prst="rect">
                      <a:avLst/>
                    </a:prstGeom>
                  </pic:spPr>
                </pic:pic>
              </a:graphicData>
            </a:graphic>
          </wp:inline>
        </w:drawing>
      </w:r>
    </w:p>
    <w:p w14:paraId="5795BA96" w14:textId="77777777" w:rsidR="00864B4A" w:rsidRDefault="00000000">
      <w:pPr>
        <w:spacing w:before="40" w:after="180"/>
        <w:jc w:val="center"/>
      </w:pPr>
      <w:r>
        <w:rPr>
          <w:rFonts w:ascii="Arial" w:eastAsia="Arial" w:hAnsi="Arial" w:cs="Arial"/>
          <w:i/>
          <w:iCs/>
        </w:rPr>
        <w:lastRenderedPageBreak/>
        <w:t>Figure 11: Tuned model ROC curves. Gradient Boosting (Tuned) retains the highest AUC at 0.936, confirming it as the recommended model.</w:t>
      </w:r>
    </w:p>
    <w:p w14:paraId="2623F1A6" w14:textId="77777777" w:rsidR="00864B4A" w:rsidRDefault="00864B4A">
      <w:pPr>
        <w:spacing w:after="60"/>
      </w:pPr>
    </w:p>
    <w:p w14:paraId="4BFA2906" w14:textId="77777777" w:rsidR="00864B4A" w:rsidRDefault="00000000">
      <w:pPr>
        <w:spacing w:before="100"/>
        <w:jc w:val="center"/>
      </w:pPr>
      <w:r>
        <w:rPr>
          <w:noProof/>
        </w:rPr>
        <w:drawing>
          <wp:inline distT="0" distB="0" distL="0" distR="0" wp14:anchorId="3C3EFE5A" wp14:editId="57B0A167">
            <wp:extent cx="5238750" cy="2571750"/>
            <wp:effectExtent l="0" t="0" r="0" b="0"/>
            <wp:docPr id="1183376645" name="Picture 118337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38750" cy="2571750"/>
                    </a:xfrm>
                    <a:prstGeom prst="rect">
                      <a:avLst/>
                    </a:prstGeom>
                  </pic:spPr>
                </pic:pic>
              </a:graphicData>
            </a:graphic>
          </wp:inline>
        </w:drawing>
      </w:r>
    </w:p>
    <w:p w14:paraId="57049C1A" w14:textId="77777777" w:rsidR="00864B4A" w:rsidRDefault="00000000">
      <w:pPr>
        <w:spacing w:before="40" w:after="180"/>
        <w:jc w:val="center"/>
      </w:pPr>
      <w:r>
        <w:rPr>
          <w:rFonts w:ascii="Arial" w:eastAsia="Arial" w:hAnsi="Arial" w:cs="Arial"/>
          <w:i/>
          <w:iCs/>
        </w:rPr>
        <w:t>Figure 12: Tuned model performance comparison across all five metrics. Gradient Boosting (Tuned) leads on ROC-AUC and F1-Score; Random Forest (Tuned) leads on Precision.</w:t>
      </w:r>
    </w:p>
    <w:p w14:paraId="66E571E0" w14:textId="77777777" w:rsidR="00864B4A" w:rsidRDefault="00000000">
      <w:pPr>
        <w:spacing w:before="220" w:after="80"/>
      </w:pPr>
      <w:r>
        <w:rPr>
          <w:rFonts w:ascii="Arial" w:eastAsia="Arial" w:hAnsi="Arial" w:cs="Arial"/>
          <w:b/>
          <w:bCs/>
          <w:color w:val="2E75B6"/>
          <w:sz w:val="25"/>
          <w:szCs w:val="25"/>
        </w:rPr>
        <w:t>5.4 Final Model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9"/>
        <w:gridCol w:w="1112"/>
        <w:gridCol w:w="1112"/>
        <w:gridCol w:w="1112"/>
        <w:gridCol w:w="1213"/>
        <w:gridCol w:w="1173"/>
        <w:gridCol w:w="809"/>
      </w:tblGrid>
      <w:tr w:rsidR="00864B4A" w14:paraId="3A2BB36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0B4E95D0" w14:textId="77777777" w:rsidR="00864B4A" w:rsidRDefault="00000000">
            <w:r>
              <w:rPr>
                <w:rFonts w:ascii="Arial" w:eastAsia="Arial" w:hAnsi="Arial" w:cs="Arial"/>
                <w:b/>
                <w:bCs/>
                <w:color w:val="FFFFFF"/>
                <w:sz w:val="21"/>
                <w:szCs w:val="21"/>
              </w:rPr>
              <w:t>Model</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60D61491" w14:textId="77777777" w:rsidR="00864B4A" w:rsidRDefault="00000000">
            <w:pPr>
              <w:jc w:val="center"/>
            </w:pPr>
            <w:r>
              <w:rPr>
                <w:rFonts w:ascii="Arial" w:eastAsia="Arial" w:hAnsi="Arial" w:cs="Arial"/>
                <w:b/>
                <w:bCs/>
                <w:color w:val="FFFFFF"/>
                <w:sz w:val="21"/>
                <w:szCs w:val="21"/>
              </w:rPr>
              <w:t>Acc</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0FDFEDDF" w14:textId="77777777" w:rsidR="00864B4A" w:rsidRDefault="00000000">
            <w:pPr>
              <w:jc w:val="center"/>
            </w:pPr>
            <w:proofErr w:type="spellStart"/>
            <w:r>
              <w:rPr>
                <w:rFonts w:ascii="Arial" w:eastAsia="Arial" w:hAnsi="Arial" w:cs="Arial"/>
                <w:b/>
                <w:bCs/>
                <w:color w:val="FFFFFF"/>
                <w:sz w:val="21"/>
                <w:szCs w:val="21"/>
              </w:rPr>
              <w:t>Prec</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CB54CC5" w14:textId="77777777" w:rsidR="00864B4A" w:rsidRDefault="00000000">
            <w:pPr>
              <w:jc w:val="center"/>
            </w:pPr>
            <w:r>
              <w:rPr>
                <w:rFonts w:ascii="Arial" w:eastAsia="Arial" w:hAnsi="Arial" w:cs="Arial"/>
                <w:b/>
                <w:bCs/>
                <w:color w:val="FFFFFF"/>
                <w:sz w:val="21"/>
                <w:szCs w:val="21"/>
              </w:rPr>
              <w:t>Recall</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724EE35A" w14:textId="77777777" w:rsidR="00864B4A" w:rsidRDefault="00000000">
            <w:pPr>
              <w:jc w:val="center"/>
            </w:pPr>
            <w:r>
              <w:rPr>
                <w:rFonts w:ascii="Arial" w:eastAsia="Arial" w:hAnsi="Arial" w:cs="Arial"/>
                <w:b/>
                <w:bCs/>
                <w:color w:val="FFFFFF"/>
                <w:sz w:val="21"/>
                <w:szCs w:val="21"/>
              </w:rPr>
              <w:t>F1</w:t>
            </w:r>
          </w:p>
        </w:tc>
        <w:tc>
          <w:tcPr>
            <w:tcW w:w="11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5774DFF7" w14:textId="77777777" w:rsidR="00864B4A" w:rsidRDefault="00000000">
            <w:pPr>
              <w:jc w:val="center"/>
            </w:pPr>
            <w:r>
              <w:rPr>
                <w:rFonts w:ascii="Arial" w:eastAsia="Arial" w:hAnsi="Arial" w:cs="Arial"/>
                <w:b/>
                <w:bCs/>
                <w:color w:val="FFFFFF"/>
                <w:sz w:val="21"/>
                <w:szCs w:val="21"/>
              </w:rPr>
              <w:t>AUC</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39C0F2B4" w14:textId="77777777" w:rsidR="00864B4A" w:rsidRDefault="00000000">
            <w:pPr>
              <w:jc w:val="center"/>
            </w:pPr>
            <w:r>
              <w:rPr>
                <w:rFonts w:ascii="Arial" w:eastAsia="Arial" w:hAnsi="Arial" w:cs="Arial"/>
                <w:b/>
                <w:bCs/>
                <w:color w:val="FFFFFF"/>
                <w:sz w:val="21"/>
                <w:szCs w:val="21"/>
              </w:rPr>
              <w:t>Rank</w:t>
            </w:r>
          </w:p>
        </w:tc>
      </w:tr>
      <w:tr w:rsidR="00864B4A" w14:paraId="622FF7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98EC30C" w14:textId="77777777" w:rsidR="00864B4A" w:rsidRDefault="00000000">
            <w:r>
              <w:rPr>
                <w:rFonts w:ascii="Arial" w:eastAsia="Arial" w:hAnsi="Arial" w:cs="Arial"/>
              </w:rPr>
              <w:t>Logistic Regression</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4DD7F86" w14:textId="77777777" w:rsidR="00864B4A" w:rsidRDefault="00000000">
            <w:pPr>
              <w:jc w:val="center"/>
            </w:pPr>
            <w:r>
              <w:rPr>
                <w:rFonts w:ascii="Arial" w:eastAsia="Arial" w:hAnsi="Arial" w:cs="Arial"/>
              </w:rPr>
              <w:t>0.8610</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071FB31" w14:textId="77777777" w:rsidR="00864B4A" w:rsidRDefault="00000000">
            <w:pPr>
              <w:jc w:val="center"/>
            </w:pPr>
            <w:r>
              <w:rPr>
                <w:rFonts w:ascii="Arial" w:eastAsia="Arial" w:hAnsi="Arial" w:cs="Arial"/>
              </w:rPr>
              <w:t>0.7622</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FBE5388" w14:textId="77777777" w:rsidR="00864B4A" w:rsidRDefault="00000000">
            <w:pPr>
              <w:jc w:val="center"/>
            </w:pPr>
            <w:r>
              <w:rPr>
                <w:rFonts w:ascii="Arial" w:eastAsia="Arial" w:hAnsi="Arial" w:cs="Arial"/>
              </w:rPr>
              <w:t>0.8239</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63973BE1" w14:textId="77777777" w:rsidR="00864B4A" w:rsidRDefault="00000000">
            <w:pPr>
              <w:jc w:val="center"/>
            </w:pPr>
            <w:r>
              <w:rPr>
                <w:rFonts w:ascii="Arial" w:eastAsia="Arial" w:hAnsi="Arial" w:cs="Arial"/>
              </w:rPr>
              <w:t>0.7919</w:t>
            </w:r>
          </w:p>
        </w:tc>
        <w:tc>
          <w:tcPr>
            <w:tcW w:w="11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BE11EC6" w14:textId="77777777" w:rsidR="00864B4A" w:rsidRDefault="00000000">
            <w:pPr>
              <w:jc w:val="center"/>
            </w:pPr>
            <w:r>
              <w:rPr>
                <w:rFonts w:ascii="Arial" w:eastAsia="Arial" w:hAnsi="Arial" w:cs="Arial"/>
              </w:rPr>
              <w:t>0.9261</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46666B52" w14:textId="77777777" w:rsidR="00864B4A" w:rsidRDefault="00000000">
            <w:pPr>
              <w:jc w:val="center"/>
            </w:pPr>
            <w:r>
              <w:rPr>
                <w:rFonts w:ascii="Arial" w:eastAsia="Arial" w:hAnsi="Arial" w:cs="Arial"/>
              </w:rPr>
              <w:t>3</w:t>
            </w:r>
          </w:p>
        </w:tc>
      </w:tr>
      <w:tr w:rsidR="00864B4A" w14:paraId="592E21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5242034" w14:textId="77777777" w:rsidR="00864B4A" w:rsidRDefault="00000000">
            <w:r>
              <w:rPr>
                <w:rFonts w:ascii="Arial" w:eastAsia="Arial" w:hAnsi="Arial" w:cs="Arial"/>
              </w:rPr>
              <w:t>Naive Bayes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5F45D3B" w14:textId="77777777" w:rsidR="00864B4A" w:rsidRDefault="00000000">
            <w:pPr>
              <w:jc w:val="center"/>
            </w:pPr>
            <w:r>
              <w:rPr>
                <w:rFonts w:ascii="Arial" w:eastAsia="Arial" w:hAnsi="Arial" w:cs="Arial"/>
              </w:rPr>
              <w:t>0.8565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AA98150" w14:textId="77777777" w:rsidR="00864B4A" w:rsidRDefault="00000000">
            <w:pPr>
              <w:jc w:val="center"/>
            </w:pPr>
            <w:r>
              <w:rPr>
                <w:rFonts w:ascii="Arial" w:eastAsia="Arial" w:hAnsi="Arial" w:cs="Arial"/>
              </w:rPr>
              <w:t>0.7962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3D2D4F2" w14:textId="77777777" w:rsidR="00864B4A" w:rsidRDefault="00000000">
            <w:pPr>
              <w:jc w:val="center"/>
            </w:pPr>
            <w:r>
              <w:rPr>
                <w:rFonts w:ascii="Arial" w:eastAsia="Arial" w:hAnsi="Arial" w:cs="Arial"/>
              </w:rPr>
              <w:t>0.7430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A401D8E" w14:textId="77777777" w:rsidR="00864B4A" w:rsidRDefault="00000000">
            <w:pPr>
              <w:jc w:val="center"/>
            </w:pPr>
            <w:r>
              <w:rPr>
                <w:rFonts w:ascii="Arial" w:eastAsia="Arial" w:hAnsi="Arial" w:cs="Arial"/>
              </w:rPr>
              <w:t>0.7687</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8BAC206" w14:textId="77777777" w:rsidR="00864B4A" w:rsidRDefault="00000000">
            <w:pPr>
              <w:jc w:val="center"/>
            </w:pPr>
            <w:r>
              <w:rPr>
                <w:rFonts w:ascii="Arial" w:eastAsia="Arial" w:hAnsi="Arial" w:cs="Arial"/>
              </w:rPr>
              <w:t>0.8851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FB26088" w14:textId="77777777" w:rsidR="00864B4A" w:rsidRDefault="00000000">
            <w:pPr>
              <w:jc w:val="center"/>
            </w:pPr>
            <w:r>
              <w:rPr>
                <w:rFonts w:ascii="Arial" w:eastAsia="Arial" w:hAnsi="Arial" w:cs="Arial"/>
              </w:rPr>
              <w:t>5</w:t>
            </w:r>
          </w:p>
        </w:tc>
      </w:tr>
      <w:tr w:rsidR="00864B4A" w14:paraId="0DAE98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59B56799" w14:textId="77777777" w:rsidR="00864B4A" w:rsidRDefault="00000000">
            <w:r>
              <w:rPr>
                <w:rFonts w:ascii="Arial" w:eastAsia="Arial" w:hAnsi="Arial" w:cs="Arial"/>
              </w:rPr>
              <w:t>Decision Tree</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F544DEC" w14:textId="77777777" w:rsidR="00864B4A" w:rsidRDefault="00000000">
            <w:pPr>
              <w:jc w:val="center"/>
            </w:pPr>
            <w:r>
              <w:rPr>
                <w:rFonts w:ascii="Arial" w:eastAsia="Arial" w:hAnsi="Arial" w:cs="Arial"/>
              </w:rPr>
              <w:t>0.8056</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003E1B73" w14:textId="77777777" w:rsidR="00864B4A" w:rsidRDefault="00000000">
            <w:pPr>
              <w:jc w:val="center"/>
            </w:pPr>
            <w:r>
              <w:rPr>
                <w:rFonts w:ascii="Arial" w:eastAsia="Arial" w:hAnsi="Arial" w:cs="Arial"/>
              </w:rPr>
              <w:t>0.7029</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69AFAD8B" w14:textId="77777777" w:rsidR="00864B4A" w:rsidRDefault="00000000">
            <w:pPr>
              <w:jc w:val="center"/>
            </w:pPr>
            <w:r>
              <w:rPr>
                <w:rFonts w:ascii="Arial" w:eastAsia="Arial" w:hAnsi="Arial" w:cs="Arial"/>
              </w:rPr>
              <w:t>0.6831</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3A19221" w14:textId="77777777" w:rsidR="00864B4A" w:rsidRDefault="00000000">
            <w:pPr>
              <w:jc w:val="center"/>
            </w:pPr>
            <w:r>
              <w:rPr>
                <w:rFonts w:ascii="Arial" w:eastAsia="Arial" w:hAnsi="Arial" w:cs="Arial"/>
              </w:rPr>
              <w:t>0.6929</w:t>
            </w:r>
          </w:p>
        </w:tc>
        <w:tc>
          <w:tcPr>
            <w:tcW w:w="11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86FBBAE" w14:textId="77777777" w:rsidR="00864B4A" w:rsidRDefault="00000000">
            <w:pPr>
              <w:jc w:val="center"/>
            </w:pPr>
            <w:r>
              <w:rPr>
                <w:rFonts w:ascii="Arial" w:eastAsia="Arial" w:hAnsi="Arial" w:cs="Arial"/>
              </w:rPr>
              <w:t>0.7733</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17FC4D3" w14:textId="77777777" w:rsidR="00864B4A" w:rsidRDefault="00000000">
            <w:pPr>
              <w:jc w:val="center"/>
            </w:pPr>
            <w:r>
              <w:rPr>
                <w:rFonts w:ascii="Arial" w:eastAsia="Arial" w:hAnsi="Arial" w:cs="Arial"/>
              </w:rPr>
              <w:t>6</w:t>
            </w:r>
          </w:p>
        </w:tc>
      </w:tr>
      <w:tr w:rsidR="00864B4A" w14:paraId="4C2669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E1CB1F9" w14:textId="77777777" w:rsidR="00864B4A" w:rsidRDefault="00000000">
            <w:r>
              <w:rPr>
                <w:rFonts w:ascii="Arial" w:eastAsia="Arial" w:hAnsi="Arial" w:cs="Arial"/>
              </w:rPr>
              <w:t>Random Forest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DE490FF" w14:textId="77777777" w:rsidR="00864B4A" w:rsidRDefault="00000000">
            <w:pPr>
              <w:jc w:val="center"/>
            </w:pPr>
            <w:r>
              <w:rPr>
                <w:rFonts w:ascii="Arial" w:eastAsia="Arial" w:hAnsi="Arial" w:cs="Arial"/>
              </w:rPr>
              <w:t>0.8847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49B6413" w14:textId="77777777" w:rsidR="00864B4A" w:rsidRDefault="00000000">
            <w:pPr>
              <w:jc w:val="center"/>
            </w:pPr>
            <w:r>
              <w:rPr>
                <w:rFonts w:ascii="Arial" w:eastAsia="Arial" w:hAnsi="Arial" w:cs="Arial"/>
              </w:rPr>
              <w:t>0.8583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85AF3C9" w14:textId="77777777" w:rsidR="00864B4A" w:rsidRDefault="00000000">
            <w:pPr>
              <w:jc w:val="center"/>
            </w:pPr>
            <w:r>
              <w:rPr>
                <w:rFonts w:ascii="Arial" w:eastAsia="Arial" w:hAnsi="Arial" w:cs="Arial"/>
              </w:rPr>
              <w:t>0.7676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447396A" w14:textId="77777777" w:rsidR="00864B4A" w:rsidRDefault="00000000">
            <w:pPr>
              <w:jc w:val="center"/>
            </w:pPr>
            <w:r>
              <w:rPr>
                <w:rFonts w:ascii="Arial" w:eastAsia="Arial" w:hAnsi="Arial" w:cs="Arial"/>
              </w:rPr>
              <w:t>0.8104</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B7277B8" w14:textId="77777777" w:rsidR="00864B4A" w:rsidRDefault="00000000">
            <w:pPr>
              <w:jc w:val="center"/>
            </w:pPr>
            <w:r>
              <w:rPr>
                <w:rFonts w:ascii="Arial" w:eastAsia="Arial" w:hAnsi="Arial" w:cs="Arial"/>
              </w:rPr>
              <w:t>0.9308</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1678A04" w14:textId="77777777" w:rsidR="00864B4A" w:rsidRDefault="00000000">
            <w:pPr>
              <w:jc w:val="center"/>
            </w:pPr>
            <w:r>
              <w:rPr>
                <w:rFonts w:ascii="Arial" w:eastAsia="Arial" w:hAnsi="Arial" w:cs="Arial"/>
              </w:rPr>
              <w:t>2</w:t>
            </w:r>
          </w:p>
        </w:tc>
      </w:tr>
      <w:tr w:rsidR="00864B4A" w14:paraId="3D6F70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78A89B92" w14:textId="77777777" w:rsidR="00864B4A" w:rsidRDefault="00000000">
            <w:r>
              <w:rPr>
                <w:rFonts w:ascii="Arial" w:eastAsia="Arial" w:hAnsi="Arial" w:cs="Arial"/>
              </w:rPr>
              <w:t>Gradient Boosting</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776529B8" w14:textId="77777777" w:rsidR="00864B4A" w:rsidRDefault="00000000">
            <w:pPr>
              <w:jc w:val="center"/>
            </w:pPr>
            <w:r>
              <w:rPr>
                <w:rFonts w:ascii="Arial" w:eastAsia="Arial" w:hAnsi="Arial" w:cs="Arial"/>
              </w:rPr>
              <w:t>0.8825</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7EFE7771" w14:textId="77777777" w:rsidR="00864B4A" w:rsidRDefault="00000000">
            <w:pPr>
              <w:jc w:val="center"/>
            </w:pPr>
            <w:r>
              <w:rPr>
                <w:rFonts w:ascii="Arial" w:eastAsia="Arial" w:hAnsi="Arial" w:cs="Arial"/>
              </w:rPr>
              <w:t>0.7980</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03393725" w14:textId="77777777" w:rsidR="00864B4A" w:rsidRDefault="00000000">
            <w:pPr>
              <w:jc w:val="center"/>
            </w:pPr>
            <w:r>
              <w:rPr>
                <w:rFonts w:ascii="Arial" w:eastAsia="Arial" w:hAnsi="Arial" w:cs="Arial"/>
              </w:rPr>
              <w:t>0.8486</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45053B1E" w14:textId="77777777" w:rsidR="00864B4A" w:rsidRDefault="00000000">
            <w:pPr>
              <w:jc w:val="center"/>
            </w:pPr>
            <w:r>
              <w:rPr>
                <w:rFonts w:ascii="Arial" w:eastAsia="Arial" w:hAnsi="Arial" w:cs="Arial"/>
              </w:rPr>
              <w:t>0.8225</w:t>
            </w:r>
          </w:p>
        </w:tc>
        <w:tc>
          <w:tcPr>
            <w:tcW w:w="11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74B9BBF9" w14:textId="77777777" w:rsidR="00864B4A" w:rsidRDefault="00000000">
            <w:pPr>
              <w:jc w:val="center"/>
            </w:pPr>
            <w:r>
              <w:rPr>
                <w:rFonts w:ascii="Arial" w:eastAsia="Arial" w:hAnsi="Arial" w:cs="Arial"/>
              </w:rPr>
              <w:t>0.9360</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46D3AA4" w14:textId="77777777" w:rsidR="00864B4A" w:rsidRDefault="00000000">
            <w:pPr>
              <w:jc w:val="center"/>
            </w:pPr>
            <w:r>
              <w:rPr>
                <w:rFonts w:ascii="Arial" w:eastAsia="Arial" w:hAnsi="Arial" w:cs="Arial"/>
              </w:rPr>
              <w:t>1</w:t>
            </w:r>
          </w:p>
        </w:tc>
      </w:tr>
      <w:tr w:rsidR="00864B4A" w14:paraId="072581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774496E3" w14:textId="77777777" w:rsidR="00864B4A" w:rsidRDefault="00000000">
            <w:r>
              <w:rPr>
                <w:rFonts w:ascii="Arial" w:eastAsia="Arial" w:hAnsi="Arial" w:cs="Arial"/>
                <w:b/>
                <w:bCs/>
              </w:rPr>
              <w:t>★ GB (Tuned)</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1D5D8451" w14:textId="77777777" w:rsidR="00864B4A" w:rsidRDefault="00000000">
            <w:pPr>
              <w:jc w:val="center"/>
            </w:pPr>
            <w:r>
              <w:rPr>
                <w:rFonts w:ascii="Arial" w:eastAsia="Arial" w:hAnsi="Arial" w:cs="Arial"/>
                <w:b/>
                <w:bCs/>
              </w:rPr>
              <w:t>0.8768</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27A9E906" w14:textId="77777777" w:rsidR="00864B4A" w:rsidRDefault="00000000">
            <w:pPr>
              <w:jc w:val="center"/>
            </w:pPr>
            <w:r>
              <w:rPr>
                <w:rFonts w:ascii="Arial" w:eastAsia="Arial" w:hAnsi="Arial" w:cs="Arial"/>
                <w:b/>
                <w:bCs/>
              </w:rPr>
              <w:t>0.8049</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3C5D5D9A" w14:textId="77777777" w:rsidR="00864B4A" w:rsidRDefault="00000000">
            <w:pPr>
              <w:jc w:val="center"/>
            </w:pPr>
            <w:r>
              <w:rPr>
                <w:rFonts w:ascii="Arial" w:eastAsia="Arial" w:hAnsi="Arial" w:cs="Arial"/>
                <w:b/>
                <w:bCs/>
              </w:rPr>
              <w:t>0.8134</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64DCAF4A" w14:textId="77777777" w:rsidR="00864B4A" w:rsidRDefault="00000000">
            <w:pPr>
              <w:jc w:val="center"/>
            </w:pPr>
            <w:r>
              <w:rPr>
                <w:rFonts w:ascii="Arial" w:eastAsia="Arial" w:hAnsi="Arial" w:cs="Arial"/>
                <w:b/>
                <w:bCs/>
              </w:rPr>
              <w:t>0.8091</w:t>
            </w:r>
          </w:p>
        </w:tc>
        <w:tc>
          <w:tcPr>
            <w:tcW w:w="11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013D9BA1" w14:textId="77777777" w:rsidR="00864B4A" w:rsidRDefault="00000000">
            <w:pPr>
              <w:jc w:val="center"/>
            </w:pPr>
            <w:r>
              <w:rPr>
                <w:rFonts w:ascii="Arial" w:eastAsia="Arial" w:hAnsi="Arial" w:cs="Arial"/>
                <w:b/>
                <w:bCs/>
              </w:rPr>
              <w:t>0.9359</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338818A0" w14:textId="77777777" w:rsidR="00864B4A" w:rsidRDefault="00000000">
            <w:pPr>
              <w:jc w:val="center"/>
            </w:pPr>
            <w:r>
              <w:rPr>
                <w:rFonts w:ascii="Arial" w:eastAsia="Arial" w:hAnsi="Arial" w:cs="Arial"/>
                <w:b/>
                <w:bCs/>
              </w:rPr>
              <w:t>1</w:t>
            </w:r>
          </w:p>
        </w:tc>
      </w:tr>
      <w:tr w:rsidR="00864B4A" w14:paraId="2E6DE3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FF"/>
            <w:tcMar>
              <w:top w:w="90" w:type="dxa"/>
              <w:left w:w="120" w:type="dxa"/>
              <w:bottom w:w="90" w:type="dxa"/>
              <w:right w:w="120" w:type="dxa"/>
            </w:tcMar>
          </w:tcPr>
          <w:p w14:paraId="44DC5266" w14:textId="77777777" w:rsidR="00864B4A" w:rsidRDefault="00000000">
            <w:r>
              <w:rPr>
                <w:rFonts w:ascii="Arial" w:eastAsia="Arial" w:hAnsi="Arial" w:cs="Arial"/>
              </w:rPr>
              <w:t>RF (Tuned)</w:t>
            </w:r>
          </w:p>
        </w:tc>
        <w:tc>
          <w:tcPr>
            <w:tcW w:w="1100" w:type="dxa"/>
            <w:tcBorders>
              <w:top w:val="single" w:sz="1" w:space="0" w:color="CCCCCC"/>
              <w:left w:val="single" w:sz="1" w:space="0" w:color="CCCCCC"/>
              <w:bottom w:val="single" w:sz="1" w:space="0" w:color="CCCCCC"/>
              <w:right w:val="single" w:sz="1" w:space="0" w:color="CCCCCC"/>
            </w:tcBorders>
            <w:shd w:val="clear" w:color="auto" w:fill="EAF4FF"/>
            <w:tcMar>
              <w:top w:w="90" w:type="dxa"/>
              <w:left w:w="120" w:type="dxa"/>
              <w:bottom w:w="90" w:type="dxa"/>
              <w:right w:w="120" w:type="dxa"/>
            </w:tcMar>
          </w:tcPr>
          <w:p w14:paraId="5351E297" w14:textId="77777777" w:rsidR="00864B4A" w:rsidRDefault="00000000">
            <w:pPr>
              <w:jc w:val="center"/>
            </w:pPr>
            <w:r>
              <w:rPr>
                <w:rFonts w:ascii="Arial" w:eastAsia="Arial" w:hAnsi="Arial" w:cs="Arial"/>
              </w:rPr>
              <w:t>0.8825</w:t>
            </w:r>
          </w:p>
        </w:tc>
        <w:tc>
          <w:tcPr>
            <w:tcW w:w="1100" w:type="dxa"/>
            <w:tcBorders>
              <w:top w:val="single" w:sz="1" w:space="0" w:color="CCCCCC"/>
              <w:left w:val="single" w:sz="1" w:space="0" w:color="CCCCCC"/>
              <w:bottom w:val="single" w:sz="1" w:space="0" w:color="CCCCCC"/>
              <w:right w:val="single" w:sz="1" w:space="0" w:color="CCCCCC"/>
            </w:tcBorders>
            <w:shd w:val="clear" w:color="auto" w:fill="EAF4FF"/>
            <w:tcMar>
              <w:top w:w="90" w:type="dxa"/>
              <w:left w:w="120" w:type="dxa"/>
              <w:bottom w:w="90" w:type="dxa"/>
              <w:right w:w="120" w:type="dxa"/>
            </w:tcMar>
          </w:tcPr>
          <w:p w14:paraId="076EA09D" w14:textId="77777777" w:rsidR="00864B4A" w:rsidRDefault="00000000">
            <w:pPr>
              <w:jc w:val="center"/>
            </w:pPr>
            <w:r>
              <w:rPr>
                <w:rFonts w:ascii="Arial" w:eastAsia="Arial" w:hAnsi="Arial" w:cs="Arial"/>
              </w:rPr>
              <w:t>0.8543</w:t>
            </w:r>
          </w:p>
        </w:tc>
        <w:tc>
          <w:tcPr>
            <w:tcW w:w="1100" w:type="dxa"/>
            <w:tcBorders>
              <w:top w:val="single" w:sz="1" w:space="0" w:color="CCCCCC"/>
              <w:left w:val="single" w:sz="1" w:space="0" w:color="CCCCCC"/>
              <w:bottom w:val="single" w:sz="1" w:space="0" w:color="CCCCCC"/>
              <w:right w:val="single" w:sz="1" w:space="0" w:color="CCCCCC"/>
            </w:tcBorders>
            <w:shd w:val="clear" w:color="auto" w:fill="EAF4FF"/>
            <w:tcMar>
              <w:top w:w="90" w:type="dxa"/>
              <w:left w:w="120" w:type="dxa"/>
              <w:bottom w:w="90" w:type="dxa"/>
              <w:right w:w="120" w:type="dxa"/>
            </w:tcMar>
          </w:tcPr>
          <w:p w14:paraId="3A144DC6" w14:textId="77777777" w:rsidR="00864B4A" w:rsidRDefault="00000000">
            <w:pPr>
              <w:jc w:val="center"/>
            </w:pPr>
            <w:r>
              <w:rPr>
                <w:rFonts w:ascii="Arial" w:eastAsia="Arial" w:hAnsi="Arial" w:cs="Arial"/>
              </w:rPr>
              <w:t>0.7641</w:t>
            </w:r>
          </w:p>
        </w:tc>
        <w:tc>
          <w:tcPr>
            <w:tcW w:w="1200" w:type="dxa"/>
            <w:tcBorders>
              <w:top w:val="single" w:sz="1" w:space="0" w:color="CCCCCC"/>
              <w:left w:val="single" w:sz="1" w:space="0" w:color="CCCCCC"/>
              <w:bottom w:val="single" w:sz="1" w:space="0" w:color="CCCCCC"/>
              <w:right w:val="single" w:sz="1" w:space="0" w:color="CCCCCC"/>
            </w:tcBorders>
            <w:shd w:val="clear" w:color="auto" w:fill="EAF4FF"/>
            <w:tcMar>
              <w:top w:w="90" w:type="dxa"/>
              <w:left w:w="120" w:type="dxa"/>
              <w:bottom w:w="90" w:type="dxa"/>
              <w:right w:w="120" w:type="dxa"/>
            </w:tcMar>
          </w:tcPr>
          <w:p w14:paraId="37F87B3F" w14:textId="77777777" w:rsidR="00864B4A" w:rsidRDefault="00000000">
            <w:pPr>
              <w:jc w:val="center"/>
            </w:pPr>
            <w:r>
              <w:rPr>
                <w:rFonts w:ascii="Arial" w:eastAsia="Arial" w:hAnsi="Arial" w:cs="Arial"/>
              </w:rPr>
              <w:t>0.8067</w:t>
            </w:r>
          </w:p>
        </w:tc>
        <w:tc>
          <w:tcPr>
            <w:tcW w:w="1160" w:type="dxa"/>
            <w:tcBorders>
              <w:top w:val="single" w:sz="1" w:space="0" w:color="CCCCCC"/>
              <w:left w:val="single" w:sz="1" w:space="0" w:color="CCCCCC"/>
              <w:bottom w:val="single" w:sz="1" w:space="0" w:color="CCCCCC"/>
              <w:right w:val="single" w:sz="1" w:space="0" w:color="CCCCCC"/>
            </w:tcBorders>
            <w:shd w:val="clear" w:color="auto" w:fill="EAF4FF"/>
            <w:tcMar>
              <w:top w:w="90" w:type="dxa"/>
              <w:left w:w="120" w:type="dxa"/>
              <w:bottom w:w="90" w:type="dxa"/>
              <w:right w:w="120" w:type="dxa"/>
            </w:tcMar>
          </w:tcPr>
          <w:p w14:paraId="529D0351" w14:textId="77777777" w:rsidR="00864B4A" w:rsidRDefault="00000000">
            <w:pPr>
              <w:jc w:val="center"/>
            </w:pPr>
            <w:r>
              <w:rPr>
                <w:rFonts w:ascii="Arial" w:eastAsia="Arial" w:hAnsi="Arial" w:cs="Arial"/>
              </w:rPr>
              <w:t>0.9315</w:t>
            </w:r>
          </w:p>
        </w:tc>
        <w:tc>
          <w:tcPr>
            <w:tcW w:w="800" w:type="dxa"/>
            <w:tcBorders>
              <w:top w:val="single" w:sz="1" w:space="0" w:color="CCCCCC"/>
              <w:left w:val="single" w:sz="1" w:space="0" w:color="CCCCCC"/>
              <w:bottom w:val="single" w:sz="1" w:space="0" w:color="CCCCCC"/>
              <w:right w:val="single" w:sz="1" w:space="0" w:color="CCCCCC"/>
            </w:tcBorders>
            <w:shd w:val="clear" w:color="auto" w:fill="EAF4FF"/>
            <w:tcMar>
              <w:top w:w="90" w:type="dxa"/>
              <w:left w:w="120" w:type="dxa"/>
              <w:bottom w:w="90" w:type="dxa"/>
              <w:right w:w="120" w:type="dxa"/>
            </w:tcMar>
          </w:tcPr>
          <w:p w14:paraId="6C9515B0" w14:textId="77777777" w:rsidR="00864B4A" w:rsidRDefault="00000000">
            <w:pPr>
              <w:jc w:val="center"/>
            </w:pPr>
            <w:r>
              <w:rPr>
                <w:rFonts w:ascii="Arial" w:eastAsia="Arial" w:hAnsi="Arial" w:cs="Arial"/>
              </w:rPr>
              <w:t>2</w:t>
            </w:r>
          </w:p>
        </w:tc>
      </w:tr>
      <w:tr w:rsidR="00864B4A" w14:paraId="613D73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48CD8643" w14:textId="77777777" w:rsidR="00864B4A" w:rsidRDefault="00000000">
            <w:r>
              <w:rPr>
                <w:rFonts w:ascii="Arial" w:eastAsia="Arial" w:hAnsi="Arial" w:cs="Arial"/>
              </w:rPr>
              <w:t>LR (Tuned)</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0FA494A8" w14:textId="77777777" w:rsidR="00864B4A" w:rsidRDefault="00000000">
            <w:pPr>
              <w:jc w:val="center"/>
            </w:pPr>
            <w:r>
              <w:rPr>
                <w:rFonts w:ascii="Arial" w:eastAsia="Arial" w:hAnsi="Arial" w:cs="Arial"/>
              </w:rPr>
              <w:t>0.8633</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7E79C1E" w14:textId="77777777" w:rsidR="00864B4A" w:rsidRDefault="00000000">
            <w:pPr>
              <w:jc w:val="center"/>
            </w:pPr>
            <w:r>
              <w:rPr>
                <w:rFonts w:ascii="Arial" w:eastAsia="Arial" w:hAnsi="Arial" w:cs="Arial"/>
              </w:rPr>
              <w:t>0.7672</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4B5CEF62" w14:textId="77777777" w:rsidR="00864B4A" w:rsidRDefault="00000000">
            <w:pPr>
              <w:jc w:val="center"/>
            </w:pPr>
            <w:r>
              <w:rPr>
                <w:rFonts w:ascii="Arial" w:eastAsia="Arial" w:hAnsi="Arial" w:cs="Arial"/>
              </w:rPr>
              <w:t>0.8239</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47585D31" w14:textId="77777777" w:rsidR="00864B4A" w:rsidRDefault="00000000">
            <w:pPr>
              <w:jc w:val="center"/>
            </w:pPr>
            <w:r>
              <w:rPr>
                <w:rFonts w:ascii="Arial" w:eastAsia="Arial" w:hAnsi="Arial" w:cs="Arial"/>
              </w:rPr>
              <w:t>0.7946</w:t>
            </w:r>
          </w:p>
        </w:tc>
        <w:tc>
          <w:tcPr>
            <w:tcW w:w="11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23FBEB6E" w14:textId="77777777" w:rsidR="00864B4A" w:rsidRDefault="00000000">
            <w:pPr>
              <w:jc w:val="center"/>
            </w:pPr>
            <w:r>
              <w:rPr>
                <w:rFonts w:ascii="Arial" w:eastAsia="Arial" w:hAnsi="Arial" w:cs="Arial"/>
              </w:rPr>
              <w:t>0.9271</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283B182" w14:textId="77777777" w:rsidR="00864B4A" w:rsidRDefault="00000000">
            <w:pPr>
              <w:jc w:val="center"/>
            </w:pPr>
            <w:r>
              <w:rPr>
                <w:rFonts w:ascii="Arial" w:eastAsia="Arial" w:hAnsi="Arial" w:cs="Arial"/>
              </w:rPr>
              <w:t>3</w:t>
            </w:r>
          </w:p>
        </w:tc>
      </w:tr>
      <w:tr w:rsidR="00864B4A" w14:paraId="458F2F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D91A7A5" w14:textId="77777777" w:rsidR="00864B4A" w:rsidRDefault="00000000">
            <w:r>
              <w:rPr>
                <w:rFonts w:ascii="Arial" w:eastAsia="Arial" w:hAnsi="Arial" w:cs="Arial"/>
              </w:rPr>
              <w:t>DT (Tuned)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7D922AF" w14:textId="77777777" w:rsidR="00864B4A" w:rsidRDefault="00000000">
            <w:pPr>
              <w:jc w:val="center"/>
            </w:pPr>
            <w:r>
              <w:rPr>
                <w:rFonts w:ascii="Arial" w:eastAsia="Arial" w:hAnsi="Arial" w:cs="Arial"/>
              </w:rPr>
              <w:t>0.8418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01460D3" w14:textId="77777777" w:rsidR="00864B4A" w:rsidRDefault="00000000">
            <w:pPr>
              <w:jc w:val="center"/>
            </w:pPr>
            <w:r>
              <w:rPr>
                <w:rFonts w:ascii="Arial" w:eastAsia="Arial" w:hAnsi="Arial" w:cs="Arial"/>
              </w:rPr>
              <w:t>0.7466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8D362E8" w14:textId="77777777" w:rsidR="00864B4A" w:rsidRDefault="00000000">
            <w:pPr>
              <w:jc w:val="center"/>
            </w:pPr>
            <w:r>
              <w:rPr>
                <w:rFonts w:ascii="Arial" w:eastAsia="Arial" w:hAnsi="Arial" w:cs="Arial"/>
              </w:rPr>
              <w:t>0.7676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0863979" w14:textId="77777777" w:rsidR="00864B4A" w:rsidRDefault="00000000">
            <w:pPr>
              <w:jc w:val="center"/>
            </w:pPr>
            <w:r>
              <w:rPr>
                <w:rFonts w:ascii="Arial" w:eastAsia="Arial" w:hAnsi="Arial" w:cs="Arial"/>
              </w:rPr>
              <w:t>0.7569</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8578C9B" w14:textId="77777777" w:rsidR="00864B4A" w:rsidRDefault="00000000">
            <w:pPr>
              <w:jc w:val="center"/>
            </w:pPr>
            <w:r>
              <w:rPr>
                <w:rFonts w:ascii="Arial" w:eastAsia="Arial" w:hAnsi="Arial" w:cs="Arial"/>
              </w:rPr>
              <w:t>0.8005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1B9F23F" w14:textId="77777777" w:rsidR="00864B4A" w:rsidRDefault="00000000">
            <w:pPr>
              <w:jc w:val="center"/>
            </w:pPr>
            <w:r>
              <w:rPr>
                <w:rFonts w:ascii="Arial" w:eastAsia="Arial" w:hAnsi="Arial" w:cs="Arial"/>
              </w:rPr>
              <w:t>4</w:t>
            </w:r>
          </w:p>
        </w:tc>
      </w:tr>
    </w:tbl>
    <w:p w14:paraId="212BBDA7" w14:textId="77777777" w:rsidR="00864B4A" w:rsidRDefault="00000000">
      <w:pPr>
        <w:spacing w:before="60" w:after="160"/>
      </w:pPr>
      <w:r>
        <w:rPr>
          <w:rFonts w:ascii="Arial" w:eastAsia="Arial" w:hAnsi="Arial" w:cs="Arial"/>
          <w:i/>
          <w:iCs/>
        </w:rPr>
        <w:t>★ = Selected model. Ranked by ROC-AUC (primary) then F1-Score (tiebreaker). GB = Gradient Boosting, RF = Random Forest, LR = Logistic Regression, DT = Decision Tree.</w:t>
      </w:r>
    </w:p>
    <w:p w14:paraId="26176206" w14:textId="77777777" w:rsidR="00864B4A" w:rsidRDefault="00000000">
      <w:pPr>
        <w:pBdr>
          <w:bottom w:val="single" w:sz="6" w:space="4" w:color="1F4E79"/>
        </w:pBdr>
        <w:spacing w:before="300" w:after="120"/>
      </w:pPr>
      <w:r>
        <w:rPr>
          <w:rFonts w:ascii="Arial" w:eastAsia="Arial" w:hAnsi="Arial" w:cs="Arial"/>
          <w:b/>
          <w:bCs/>
          <w:color w:val="1F4E79"/>
          <w:sz w:val="28"/>
          <w:szCs w:val="28"/>
        </w:rPr>
        <w:t>6. Results and Insights</w:t>
      </w:r>
    </w:p>
    <w:p w14:paraId="6A18360D" w14:textId="77777777" w:rsidR="00864B4A" w:rsidRDefault="00000000">
      <w:pPr>
        <w:spacing w:before="220" w:after="80"/>
      </w:pPr>
      <w:r>
        <w:rPr>
          <w:rFonts w:ascii="Arial" w:eastAsia="Arial" w:hAnsi="Arial" w:cs="Arial"/>
          <w:b/>
          <w:bCs/>
          <w:color w:val="2E75B6"/>
          <w:sz w:val="25"/>
          <w:szCs w:val="25"/>
        </w:rPr>
        <w:t>6.1 Feature Importance</w:t>
      </w:r>
    </w:p>
    <w:p w14:paraId="3DDE8191" w14:textId="77777777" w:rsidR="00864B4A" w:rsidRDefault="00000000">
      <w:pPr>
        <w:spacing w:before="100"/>
        <w:jc w:val="center"/>
      </w:pPr>
      <w:r>
        <w:rPr>
          <w:noProof/>
        </w:rPr>
        <w:lastRenderedPageBreak/>
        <w:drawing>
          <wp:inline distT="0" distB="0" distL="0" distR="0" wp14:anchorId="2E2CDD09" wp14:editId="0A287C56">
            <wp:extent cx="4762500" cy="2809875"/>
            <wp:effectExtent l="0" t="0" r="0" b="0"/>
            <wp:docPr id="747204136" name="Picture 747204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809875"/>
                    </a:xfrm>
                    <a:prstGeom prst="rect">
                      <a:avLst/>
                    </a:prstGeom>
                  </pic:spPr>
                </pic:pic>
              </a:graphicData>
            </a:graphic>
          </wp:inline>
        </w:drawing>
      </w:r>
    </w:p>
    <w:p w14:paraId="1C1D6049" w14:textId="77777777" w:rsidR="00864B4A" w:rsidRDefault="00000000">
      <w:pPr>
        <w:spacing w:before="40" w:after="180"/>
        <w:jc w:val="center"/>
      </w:pPr>
      <w:r>
        <w:rPr>
          <w:rFonts w:ascii="Arial" w:eastAsia="Arial" w:hAnsi="Arial" w:cs="Arial"/>
          <w:i/>
          <w:iCs/>
        </w:rPr>
        <w:t xml:space="preserve">Figure 13: Top 15 feature importances from Gradient Boosting (Tuned). The four engineered features (sem2_approval_rate, </w:t>
      </w:r>
      <w:proofErr w:type="spellStart"/>
      <w:r>
        <w:rPr>
          <w:rFonts w:ascii="Arial" w:eastAsia="Arial" w:hAnsi="Arial" w:cs="Arial"/>
          <w:i/>
          <w:iCs/>
        </w:rPr>
        <w:t>total_approved</w:t>
      </w:r>
      <w:proofErr w:type="spellEnd"/>
      <w:r>
        <w:rPr>
          <w:rFonts w:ascii="Arial" w:eastAsia="Arial" w:hAnsi="Arial" w:cs="Arial"/>
          <w:i/>
          <w:iCs/>
        </w:rPr>
        <w:t xml:space="preserve">, </w:t>
      </w:r>
      <w:proofErr w:type="spellStart"/>
      <w:r>
        <w:rPr>
          <w:rFonts w:ascii="Arial" w:eastAsia="Arial" w:hAnsi="Arial" w:cs="Arial"/>
          <w:i/>
          <w:iCs/>
        </w:rPr>
        <w:t>avg_grade</w:t>
      </w:r>
      <w:proofErr w:type="spellEnd"/>
      <w:r>
        <w:rPr>
          <w:rFonts w:ascii="Arial" w:eastAsia="Arial" w:hAnsi="Arial" w:cs="Arial"/>
          <w:i/>
          <w:iCs/>
        </w:rPr>
        <w:t>, sem1_approval_rate) occupy four of the top six positions, validating the feature engineering step.</w:t>
      </w:r>
    </w:p>
    <w:p w14:paraId="2E03845F" w14:textId="77777777" w:rsidR="00864B4A" w:rsidRDefault="00000000">
      <w:pPr>
        <w:spacing w:after="160"/>
      </w:pPr>
      <w:r>
        <w:rPr>
          <w:rFonts w:ascii="Arial" w:eastAsia="Arial" w:hAnsi="Arial" w:cs="Arial"/>
          <w:sz w:val="24"/>
          <w:szCs w:val="24"/>
        </w:rPr>
        <w:t xml:space="preserve">The feature importance analysis provides actionable insight for institutional strategy. The top three predictors are all academic performance measures from the second semester, confirming that academic disengagement is the primary driver of dropout. Tuition fees up to date </w:t>
      </w:r>
      <w:proofErr w:type="gramStart"/>
      <w:r>
        <w:rPr>
          <w:rFonts w:ascii="Arial" w:eastAsia="Arial" w:hAnsi="Arial" w:cs="Arial"/>
          <w:sz w:val="24"/>
          <w:szCs w:val="24"/>
        </w:rPr>
        <w:t>ranks</w:t>
      </w:r>
      <w:proofErr w:type="gramEnd"/>
      <w:r>
        <w:rPr>
          <w:rFonts w:ascii="Arial" w:eastAsia="Arial" w:hAnsi="Arial" w:cs="Arial"/>
          <w:sz w:val="24"/>
          <w:szCs w:val="24"/>
        </w:rPr>
        <w:t xml:space="preserve"> as the most important non-academic feature at position 5. Macroeconomic variables do not appear in the top 15, reinforcing that dropout is driven by individual-level circumstances rather than economic conditions.</w:t>
      </w:r>
    </w:p>
    <w:p w14:paraId="57F9FEA9" w14:textId="77777777" w:rsidR="00864B4A" w:rsidRDefault="00000000">
      <w:pPr>
        <w:spacing w:before="220" w:after="80"/>
      </w:pPr>
      <w:r>
        <w:rPr>
          <w:rFonts w:ascii="Arial" w:eastAsia="Arial" w:hAnsi="Arial" w:cs="Arial"/>
          <w:b/>
          <w:bCs/>
          <w:color w:val="2E75B6"/>
          <w:sz w:val="25"/>
          <w:szCs w:val="25"/>
        </w:rPr>
        <w:t>6.2 Partial Dependence Plots</w:t>
      </w:r>
    </w:p>
    <w:p w14:paraId="2CAB848B" w14:textId="77777777" w:rsidR="00864B4A" w:rsidRDefault="00000000">
      <w:pPr>
        <w:spacing w:before="100"/>
        <w:jc w:val="center"/>
      </w:pPr>
      <w:r>
        <w:rPr>
          <w:noProof/>
        </w:rPr>
        <w:drawing>
          <wp:inline distT="0" distB="0" distL="0" distR="0" wp14:anchorId="4E36AF75" wp14:editId="22F5E888">
            <wp:extent cx="5048250" cy="1619250"/>
            <wp:effectExtent l="0" t="0" r="0" b="0"/>
            <wp:docPr id="533365686" name="Picture 533365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48250" cy="1619250"/>
                    </a:xfrm>
                    <a:prstGeom prst="rect">
                      <a:avLst/>
                    </a:prstGeom>
                  </pic:spPr>
                </pic:pic>
              </a:graphicData>
            </a:graphic>
          </wp:inline>
        </w:drawing>
      </w:r>
    </w:p>
    <w:p w14:paraId="4B089898" w14:textId="77777777" w:rsidR="00864B4A" w:rsidRDefault="00000000">
      <w:pPr>
        <w:spacing w:before="40" w:after="180"/>
        <w:jc w:val="center"/>
      </w:pPr>
      <w:r>
        <w:rPr>
          <w:rFonts w:ascii="Arial" w:eastAsia="Arial" w:hAnsi="Arial" w:cs="Arial"/>
          <w:i/>
          <w:iCs/>
        </w:rPr>
        <w:t>Figure 14: Partial Dependence Plots for the top 3 features. Non-linear relationships are clearly visible, confirming that Gradient Boosting captures effects that a logistic regression cannot.</w:t>
      </w:r>
    </w:p>
    <w:p w14:paraId="23D2DFBA" w14:textId="77777777" w:rsidR="00864B4A" w:rsidRDefault="00000000">
      <w:pPr>
        <w:spacing w:after="160"/>
      </w:pPr>
      <w:r>
        <w:rPr>
          <w:rFonts w:ascii="Arial" w:eastAsia="Arial" w:hAnsi="Arial" w:cs="Arial"/>
          <w:sz w:val="24"/>
          <w:szCs w:val="24"/>
        </w:rPr>
        <w:t xml:space="preserve">The PDPs reveal the shape of each feature's relationship with dropout probability. For sem2_approval_rate, the risk drops steeply as the rate moves from 0 to 0.30, then flattens. This means the highest-impact intervention is helping a student go from approving nothing to passing at least two or three units, not pushing already-passing students to approve more. For </w:t>
      </w:r>
      <w:proofErr w:type="spellStart"/>
      <w:r>
        <w:rPr>
          <w:rFonts w:ascii="Arial" w:eastAsia="Arial" w:hAnsi="Arial" w:cs="Arial"/>
          <w:sz w:val="24"/>
          <w:szCs w:val="24"/>
        </w:rPr>
        <w:t>total_approved</w:t>
      </w:r>
      <w:proofErr w:type="spellEnd"/>
      <w:r>
        <w:rPr>
          <w:rFonts w:ascii="Arial" w:eastAsia="Arial" w:hAnsi="Arial" w:cs="Arial"/>
          <w:sz w:val="24"/>
          <w:szCs w:val="24"/>
        </w:rPr>
        <w:t>, a similar steep effect up to about 5 units. These non-linear patterns explain why Gradient Boosting outperforms logistic regression despite similar recall scores.</w:t>
      </w:r>
    </w:p>
    <w:p w14:paraId="6BDDBA9C" w14:textId="77777777" w:rsidR="00864B4A" w:rsidRDefault="00000000">
      <w:pPr>
        <w:pBdr>
          <w:bottom w:val="single" w:sz="6" w:space="4" w:color="1F4E79"/>
        </w:pBdr>
        <w:spacing w:before="300" w:after="120"/>
      </w:pPr>
      <w:r>
        <w:rPr>
          <w:rFonts w:ascii="Arial" w:eastAsia="Arial" w:hAnsi="Arial" w:cs="Arial"/>
          <w:b/>
          <w:bCs/>
          <w:color w:val="1F4E79"/>
          <w:sz w:val="28"/>
          <w:szCs w:val="28"/>
        </w:rPr>
        <w:t>7. Business Implications</w:t>
      </w:r>
    </w:p>
    <w:p w14:paraId="344CDCEC" w14:textId="77777777" w:rsidR="00864B4A" w:rsidRDefault="00000000">
      <w:pPr>
        <w:spacing w:before="220" w:after="80"/>
      </w:pPr>
      <w:r>
        <w:rPr>
          <w:rFonts w:ascii="Arial" w:eastAsia="Arial" w:hAnsi="Arial" w:cs="Arial"/>
          <w:b/>
          <w:bCs/>
          <w:color w:val="2E75B6"/>
          <w:sz w:val="25"/>
          <w:szCs w:val="25"/>
        </w:rPr>
        <w:lastRenderedPageBreak/>
        <w:t>7.1 Recommended Deployment Settings</w:t>
      </w:r>
    </w:p>
    <w:p w14:paraId="03C41318" w14:textId="77777777" w:rsidR="00864B4A" w:rsidRDefault="00000000">
      <w:pPr>
        <w:pStyle w:val="ListParagraph"/>
        <w:numPr>
          <w:ilvl w:val="0"/>
          <w:numId w:val="2"/>
        </w:numPr>
        <w:spacing w:after="60"/>
      </w:pPr>
      <w:r>
        <w:rPr>
          <w:rFonts w:ascii="Arial" w:eastAsia="Arial" w:hAnsi="Arial" w:cs="Arial"/>
          <w:sz w:val="22"/>
          <w:szCs w:val="22"/>
        </w:rPr>
        <w:t xml:space="preserve">Deploy Gradient Boosting model at classification threshold = 0.40 (not </w:t>
      </w:r>
      <w:proofErr w:type="spellStart"/>
      <w:r>
        <w:rPr>
          <w:rFonts w:ascii="Arial" w:eastAsia="Arial" w:hAnsi="Arial" w:cs="Arial"/>
          <w:sz w:val="22"/>
          <w:szCs w:val="22"/>
        </w:rPr>
        <w:t>sklearn</w:t>
      </w:r>
      <w:proofErr w:type="spellEnd"/>
      <w:r>
        <w:rPr>
          <w:rFonts w:ascii="Arial" w:eastAsia="Arial" w:hAnsi="Arial" w:cs="Arial"/>
          <w:sz w:val="22"/>
          <w:szCs w:val="22"/>
        </w:rPr>
        <w:t xml:space="preserve"> default 0.50)</w:t>
      </w:r>
    </w:p>
    <w:p w14:paraId="141D2C87" w14:textId="77777777" w:rsidR="00864B4A" w:rsidRDefault="00000000">
      <w:pPr>
        <w:pStyle w:val="ListParagraph"/>
        <w:numPr>
          <w:ilvl w:val="0"/>
          <w:numId w:val="2"/>
        </w:numPr>
        <w:spacing w:after="60"/>
      </w:pPr>
      <w:r>
        <w:rPr>
          <w:rFonts w:ascii="Arial" w:eastAsia="Arial" w:hAnsi="Arial" w:cs="Arial"/>
          <w:sz w:val="22"/>
          <w:szCs w:val="22"/>
        </w:rPr>
        <w:t>At threshold=0.40: Recall rises to 84.2% catching more true dropouts; Precision of 78.1% keeps false-alarm rate manageable</w:t>
      </w:r>
    </w:p>
    <w:p w14:paraId="3E420259" w14:textId="77777777" w:rsidR="00864B4A" w:rsidRDefault="00000000">
      <w:pPr>
        <w:pStyle w:val="ListParagraph"/>
        <w:numPr>
          <w:ilvl w:val="0"/>
          <w:numId w:val="2"/>
        </w:numPr>
        <w:spacing w:after="60"/>
      </w:pPr>
      <w:r>
        <w:rPr>
          <w:rFonts w:ascii="Arial" w:eastAsia="Arial" w:hAnsi="Arial" w:cs="Arial"/>
          <w:sz w:val="22"/>
          <w:szCs w:val="22"/>
        </w:rPr>
        <w:t>All students with predicted dropout probability at or above 0.40 should receive an advisor outreach within two weeks of semester-end grades being posted</w:t>
      </w:r>
    </w:p>
    <w:p w14:paraId="0560D8DE" w14:textId="77777777" w:rsidR="00864B4A" w:rsidRDefault="00000000">
      <w:pPr>
        <w:pStyle w:val="ListParagraph"/>
        <w:numPr>
          <w:ilvl w:val="0"/>
          <w:numId w:val="2"/>
        </w:numPr>
        <w:spacing w:after="60"/>
      </w:pPr>
      <w:r>
        <w:rPr>
          <w:rFonts w:ascii="Arial" w:eastAsia="Arial" w:hAnsi="Arial" w:cs="Arial"/>
          <w:sz w:val="22"/>
          <w:szCs w:val="22"/>
        </w:rPr>
        <w:t>Model is a triage tool: it narrows the field for advisors to investigate, not a standalone diagnosis</w:t>
      </w:r>
    </w:p>
    <w:p w14:paraId="6F6C6987" w14:textId="77777777" w:rsidR="00864B4A" w:rsidRDefault="00864B4A">
      <w:pPr>
        <w:spacing w:after="80"/>
      </w:pPr>
    </w:p>
    <w:p w14:paraId="2D1958AE" w14:textId="77777777" w:rsidR="00864B4A" w:rsidRDefault="00000000">
      <w:pPr>
        <w:spacing w:before="220" w:after="80"/>
      </w:pPr>
      <w:r>
        <w:rPr>
          <w:rFonts w:ascii="Arial" w:eastAsia="Arial" w:hAnsi="Arial" w:cs="Arial"/>
          <w:b/>
          <w:bCs/>
          <w:color w:val="2E75B6"/>
          <w:sz w:val="25"/>
          <w:szCs w:val="25"/>
        </w:rPr>
        <w:t>7.2 Priority Interventions by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64B4A" w14:paraId="623B842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406BCFC5" w14:textId="77777777" w:rsidR="00864B4A" w:rsidRDefault="00000000">
            <w:r>
              <w:rPr>
                <w:rFonts w:ascii="Arial" w:eastAsia="Arial" w:hAnsi="Arial" w:cs="Arial"/>
                <w:b/>
                <w:bCs/>
                <w:color w:val="FFFFFF"/>
                <w:sz w:val="21"/>
                <w:szCs w:val="21"/>
              </w:rPr>
              <w:t>Key Signal</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030E9A21" w14:textId="77777777" w:rsidR="00864B4A" w:rsidRDefault="00000000">
            <w:pPr>
              <w:jc w:val="center"/>
            </w:pPr>
            <w:r>
              <w:rPr>
                <w:rFonts w:ascii="Arial" w:eastAsia="Arial" w:hAnsi="Arial" w:cs="Arial"/>
                <w:b/>
                <w:bCs/>
                <w:color w:val="FFFFFF"/>
                <w:sz w:val="21"/>
                <w:szCs w:val="21"/>
              </w:rPr>
              <w:t>Recommended Institutional Action</w:t>
            </w:r>
          </w:p>
        </w:tc>
      </w:tr>
      <w:tr w:rsidR="00864B4A" w14:paraId="6B4ACC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2048E346" w14:textId="77777777" w:rsidR="00864B4A" w:rsidRDefault="00000000">
            <w:r>
              <w:rPr>
                <w:rFonts w:ascii="Arial" w:eastAsia="Arial" w:hAnsi="Arial" w:cs="Arial"/>
              </w:rPr>
              <w:t>sem2_approval_rate &lt; 0.30</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2743B385" w14:textId="77777777" w:rsidR="00864B4A" w:rsidRDefault="00000000">
            <w:pPr>
              <w:jc w:val="center"/>
            </w:pPr>
            <w:r>
              <w:rPr>
                <w:rFonts w:ascii="Arial" w:eastAsia="Arial" w:hAnsi="Arial" w:cs="Arial"/>
              </w:rPr>
              <w:t xml:space="preserve">Immediate referral to academic advisor and tutoring </w:t>
            </w:r>
            <w:proofErr w:type="spellStart"/>
            <w:r>
              <w:rPr>
                <w:rFonts w:ascii="Arial" w:eastAsia="Arial" w:hAnsi="Arial" w:cs="Arial"/>
              </w:rPr>
              <w:t>programme</w:t>
            </w:r>
            <w:proofErr w:type="spellEnd"/>
            <w:r>
              <w:rPr>
                <w:rFonts w:ascii="Arial" w:eastAsia="Arial" w:hAnsi="Arial" w:cs="Arial"/>
              </w:rPr>
              <w:t xml:space="preserve"> after semester 1 grades post</w:t>
            </w:r>
          </w:p>
        </w:tc>
      </w:tr>
      <w:tr w:rsidR="00864B4A" w14:paraId="1B8121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FA3C716" w14:textId="77777777" w:rsidR="00864B4A" w:rsidRDefault="00000000">
            <w:r>
              <w:rPr>
                <w:rFonts w:ascii="Arial" w:eastAsia="Arial" w:hAnsi="Arial" w:cs="Arial"/>
              </w:rPr>
              <w:t>Tuition fees not current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9195290" w14:textId="77777777" w:rsidR="00864B4A" w:rsidRDefault="00000000">
            <w:pPr>
              <w:jc w:val="center"/>
            </w:pPr>
            <w:r>
              <w:rPr>
                <w:rFonts w:ascii="Arial" w:eastAsia="Arial" w:hAnsi="Arial" w:cs="Arial"/>
              </w:rPr>
              <w:t xml:space="preserve">Proactive financial aid outreach before fees </w:t>
            </w:r>
            <w:proofErr w:type="gramStart"/>
            <w:r>
              <w:rPr>
                <w:rFonts w:ascii="Arial" w:eastAsia="Arial" w:hAnsi="Arial" w:cs="Arial"/>
              </w:rPr>
              <w:t>escalate</w:t>
            </w:r>
            <w:proofErr w:type="gramEnd"/>
            <w:r>
              <w:rPr>
                <w:rFonts w:ascii="Arial" w:eastAsia="Arial" w:hAnsi="Arial" w:cs="Arial"/>
              </w:rPr>
              <w:t xml:space="preserve"> further; payment plan discussion</w:t>
            </w:r>
          </w:p>
        </w:tc>
      </w:tr>
      <w:tr w:rsidR="00864B4A" w14:paraId="01CB3E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43E74949" w14:textId="77777777" w:rsidR="00864B4A" w:rsidRDefault="00000000">
            <w:r>
              <w:rPr>
                <w:rFonts w:ascii="Arial" w:eastAsia="Arial" w:hAnsi="Arial" w:cs="Arial"/>
              </w:rPr>
              <w:t>Scholarship holder = No (+ high risk)</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AF345D8" w14:textId="77777777" w:rsidR="00864B4A" w:rsidRDefault="00000000">
            <w:pPr>
              <w:jc w:val="center"/>
            </w:pPr>
            <w:r>
              <w:rPr>
                <w:rFonts w:ascii="Arial" w:eastAsia="Arial" w:hAnsi="Arial" w:cs="Arial"/>
              </w:rPr>
              <w:t>Assess scholarship eligibility for borderline students; expanding access is highest-ROI retention lever</w:t>
            </w:r>
          </w:p>
        </w:tc>
      </w:tr>
      <w:tr w:rsidR="00864B4A" w14:paraId="759B5B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D2A3FFE" w14:textId="77777777" w:rsidR="00864B4A" w:rsidRDefault="00000000">
            <w:r>
              <w:rPr>
                <w:rFonts w:ascii="Arial" w:eastAsia="Arial" w:hAnsi="Arial" w:cs="Arial"/>
              </w:rPr>
              <w:t>Evening attendance + Debtor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8E5DEA7" w14:textId="77777777" w:rsidR="00864B4A" w:rsidRDefault="00000000">
            <w:pPr>
              <w:jc w:val="center"/>
            </w:pPr>
            <w:r>
              <w:rPr>
                <w:rFonts w:ascii="Arial" w:eastAsia="Arial" w:hAnsi="Arial" w:cs="Arial"/>
              </w:rPr>
              <w:t>Combined highest-risk profile; consider flexible scheduling, remote academic support</w:t>
            </w:r>
          </w:p>
        </w:tc>
      </w:tr>
      <w:tr w:rsidR="00864B4A" w14:paraId="472638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6423445B" w14:textId="77777777" w:rsidR="00864B4A" w:rsidRDefault="00000000">
            <w:r>
              <w:rPr>
                <w:rFonts w:ascii="Arial" w:eastAsia="Arial" w:hAnsi="Arial" w:cs="Arial"/>
              </w:rPr>
              <w:t>Age at enrollment &gt; 26</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8023133" w14:textId="77777777" w:rsidR="00864B4A" w:rsidRDefault="00000000">
            <w:pPr>
              <w:jc w:val="center"/>
            </w:pPr>
            <w:r>
              <w:rPr>
                <w:rFonts w:ascii="Arial" w:eastAsia="Arial" w:hAnsi="Arial" w:cs="Arial"/>
              </w:rPr>
              <w:t xml:space="preserve">Mature learner support </w:t>
            </w:r>
            <w:proofErr w:type="spellStart"/>
            <w:r>
              <w:rPr>
                <w:rFonts w:ascii="Arial" w:eastAsia="Arial" w:hAnsi="Arial" w:cs="Arial"/>
              </w:rPr>
              <w:t>programme</w:t>
            </w:r>
            <w:proofErr w:type="spellEnd"/>
            <w:r>
              <w:rPr>
                <w:rFonts w:ascii="Arial" w:eastAsia="Arial" w:hAnsi="Arial" w:cs="Arial"/>
              </w:rPr>
              <w:t>; flexible assessment options; peer mentoring</w:t>
            </w:r>
          </w:p>
        </w:tc>
      </w:tr>
    </w:tbl>
    <w:p w14:paraId="205A6706" w14:textId="77777777" w:rsidR="00864B4A" w:rsidRDefault="00864B4A">
      <w:pPr>
        <w:spacing w:after="160"/>
      </w:pPr>
    </w:p>
    <w:p w14:paraId="472F20E7" w14:textId="77777777" w:rsidR="00864B4A" w:rsidRDefault="00000000">
      <w:pPr>
        <w:spacing w:before="220" w:after="80"/>
      </w:pPr>
      <w:r>
        <w:rPr>
          <w:rFonts w:ascii="Arial" w:eastAsia="Arial" w:hAnsi="Arial" w:cs="Arial"/>
          <w:b/>
          <w:bCs/>
          <w:color w:val="2E75B6"/>
          <w:sz w:val="25"/>
          <w:szCs w:val="25"/>
        </w:rPr>
        <w:t>7.3 Limitations and Next Steps</w:t>
      </w:r>
    </w:p>
    <w:p w14:paraId="760E21F2" w14:textId="77777777" w:rsidR="00864B4A" w:rsidRDefault="00000000">
      <w:pPr>
        <w:pStyle w:val="ListParagraph"/>
        <w:numPr>
          <w:ilvl w:val="0"/>
          <w:numId w:val="2"/>
        </w:numPr>
        <w:spacing w:after="60"/>
      </w:pPr>
      <w:r>
        <w:rPr>
          <w:rFonts w:ascii="Arial" w:eastAsia="Arial" w:hAnsi="Arial" w:cs="Arial"/>
          <w:sz w:val="22"/>
          <w:szCs w:val="22"/>
        </w:rPr>
        <w:t>Dataset covers one Portuguese polytechnic institute; external validation is needed before deployment elsewhere</w:t>
      </w:r>
    </w:p>
    <w:p w14:paraId="17392D90" w14:textId="77777777" w:rsidR="00864B4A" w:rsidRDefault="00000000">
      <w:pPr>
        <w:pStyle w:val="ListParagraph"/>
        <w:numPr>
          <w:ilvl w:val="0"/>
          <w:numId w:val="2"/>
        </w:numPr>
        <w:spacing w:after="60"/>
      </w:pPr>
      <w:r>
        <w:rPr>
          <w:rFonts w:ascii="Arial" w:eastAsia="Arial" w:hAnsi="Arial" w:cs="Arial"/>
          <w:sz w:val="22"/>
          <w:szCs w:val="22"/>
        </w:rPr>
        <w:t>Second-semester data is required for full model performance; enrollment-time-only predictions have lower accuracy</w:t>
      </w:r>
    </w:p>
    <w:p w14:paraId="0795AF7A" w14:textId="77777777" w:rsidR="00864B4A" w:rsidRDefault="00000000">
      <w:pPr>
        <w:pStyle w:val="ListParagraph"/>
        <w:numPr>
          <w:ilvl w:val="0"/>
          <w:numId w:val="2"/>
        </w:numPr>
        <w:spacing w:after="60"/>
      </w:pPr>
      <w:proofErr w:type="gramStart"/>
      <w:r>
        <w:rPr>
          <w:rFonts w:ascii="Arial" w:eastAsia="Arial" w:hAnsi="Arial" w:cs="Arial"/>
          <w:sz w:val="22"/>
          <w:szCs w:val="22"/>
        </w:rPr>
        <w:t>Oversampling on</w:t>
      </w:r>
      <w:proofErr w:type="gramEnd"/>
      <w:r>
        <w:rPr>
          <w:rFonts w:ascii="Arial" w:eastAsia="Arial" w:hAnsi="Arial" w:cs="Arial"/>
          <w:sz w:val="22"/>
          <w:szCs w:val="22"/>
        </w:rPr>
        <w:t xml:space="preserve"> training data may modestly overstate performance relative to fully natural class distributions</w:t>
      </w:r>
    </w:p>
    <w:p w14:paraId="14799DB6" w14:textId="77777777" w:rsidR="00864B4A" w:rsidRDefault="00000000">
      <w:pPr>
        <w:pStyle w:val="ListParagraph"/>
        <w:numPr>
          <w:ilvl w:val="0"/>
          <w:numId w:val="2"/>
        </w:numPr>
        <w:spacing w:after="60"/>
      </w:pPr>
      <w:r>
        <w:rPr>
          <w:rFonts w:ascii="Arial" w:eastAsia="Arial" w:hAnsi="Arial" w:cs="Arial"/>
          <w:sz w:val="22"/>
          <w:szCs w:val="22"/>
        </w:rPr>
        <w:t>SHAP (</w:t>
      </w:r>
      <w:proofErr w:type="spellStart"/>
      <w:r>
        <w:rPr>
          <w:rFonts w:ascii="Arial" w:eastAsia="Arial" w:hAnsi="Arial" w:cs="Arial"/>
          <w:sz w:val="22"/>
          <w:szCs w:val="22"/>
        </w:rPr>
        <w:t>SHapley</w:t>
      </w:r>
      <w:proofErr w:type="spellEnd"/>
      <w:r>
        <w:rPr>
          <w:rFonts w:ascii="Arial" w:eastAsia="Arial" w:hAnsi="Arial" w:cs="Arial"/>
          <w:sz w:val="22"/>
          <w:szCs w:val="22"/>
        </w:rPr>
        <w:t xml:space="preserve"> Additive Explanations) would provide per-student prediction explanations, more actionable for individual advisors</w:t>
      </w:r>
    </w:p>
    <w:p w14:paraId="18A4000C" w14:textId="77777777" w:rsidR="00864B4A" w:rsidRDefault="00000000">
      <w:pPr>
        <w:pStyle w:val="ListParagraph"/>
        <w:numPr>
          <w:ilvl w:val="0"/>
          <w:numId w:val="2"/>
        </w:numPr>
        <w:spacing w:after="60"/>
      </w:pPr>
      <w:r>
        <w:rPr>
          <w:rFonts w:ascii="Arial" w:eastAsia="Arial" w:hAnsi="Arial" w:cs="Arial"/>
          <w:sz w:val="22"/>
          <w:szCs w:val="22"/>
        </w:rPr>
        <w:t>A phased model (enrollment only then post-semester 1) following Martins et al. (2023) would enable earlier intervention</w:t>
      </w:r>
    </w:p>
    <w:p w14:paraId="66A29749" w14:textId="77777777" w:rsidR="00864B4A" w:rsidRDefault="00864B4A">
      <w:pPr>
        <w:spacing w:after="200"/>
      </w:pPr>
    </w:p>
    <w:p w14:paraId="0692BDF0" w14:textId="77777777" w:rsidR="00864B4A" w:rsidRDefault="00864B4A">
      <w:pPr>
        <w:spacing w:after="200"/>
      </w:pPr>
    </w:p>
    <w:p w14:paraId="468D61AD" w14:textId="77777777" w:rsidR="00864B4A" w:rsidRDefault="00000000">
      <w:pPr>
        <w:spacing w:before="320" w:after="120"/>
      </w:pPr>
      <w:r>
        <w:rPr>
          <w:rFonts w:ascii="Arial" w:eastAsia="Arial" w:hAnsi="Arial" w:cs="Arial"/>
          <w:b/>
          <w:bCs/>
          <w:color w:val="1F4E79"/>
          <w:sz w:val="28"/>
          <w:szCs w:val="28"/>
        </w:rPr>
        <w:t>8. Economic Impact: The Quantifiable Cost of Student Dropout</w:t>
      </w:r>
    </w:p>
    <w:p w14:paraId="38E8FA3F" w14:textId="77777777" w:rsidR="00864B4A" w:rsidRDefault="00000000">
      <w:pPr>
        <w:spacing w:after="130"/>
      </w:pPr>
      <w:r>
        <w:rPr>
          <w:rFonts w:ascii="Arial" w:eastAsia="Arial" w:hAnsi="Arial" w:cs="Arial"/>
          <w:b/>
          <w:bCs/>
          <w:sz w:val="24"/>
          <w:szCs w:val="24"/>
        </w:rPr>
        <w:t xml:space="preserve">Addressing the Professor’s Question: </w:t>
      </w:r>
      <w:r>
        <w:rPr>
          <w:rFonts w:ascii="Arial" w:eastAsia="Arial" w:hAnsi="Arial" w:cs="Arial"/>
          <w:i/>
          <w:iCs/>
          <w:sz w:val="24"/>
          <w:szCs w:val="24"/>
        </w:rPr>
        <w:t>“What is the quantifiable economic cost of doing this project?”</w:t>
      </w:r>
    </w:p>
    <w:p w14:paraId="5CD518E7" w14:textId="77777777" w:rsidR="00864B4A" w:rsidRDefault="00000000">
      <w:pPr>
        <w:spacing w:after="130"/>
      </w:pPr>
      <w:r>
        <w:rPr>
          <w:rFonts w:ascii="Arial" w:eastAsia="Arial" w:hAnsi="Arial" w:cs="Arial"/>
          <w:sz w:val="24"/>
          <w:szCs w:val="24"/>
        </w:rPr>
        <w:t xml:space="preserve">The professor’s question is interpreted as: what is the measurable economic cost of the problem this project solves, and what economic value does our model create by helping reduce it? This is not a rhetorical question. Every dropout in this </w:t>
      </w:r>
      <w:proofErr w:type="gramStart"/>
      <w:r>
        <w:rPr>
          <w:rFonts w:ascii="Arial" w:eastAsia="Arial" w:hAnsi="Arial" w:cs="Arial"/>
          <w:sz w:val="24"/>
          <w:szCs w:val="24"/>
        </w:rPr>
        <w:t>dataset</w:t>
      </w:r>
      <w:proofErr w:type="gramEnd"/>
      <w:r>
        <w:rPr>
          <w:rFonts w:ascii="Arial" w:eastAsia="Arial" w:hAnsi="Arial" w:cs="Arial"/>
          <w:sz w:val="24"/>
          <w:szCs w:val="24"/>
        </w:rPr>
        <w:t xml:space="preserve"> represents a real </w:t>
      </w:r>
      <w:r>
        <w:rPr>
          <w:rFonts w:ascii="Arial" w:eastAsia="Arial" w:hAnsi="Arial" w:cs="Arial"/>
          <w:sz w:val="24"/>
          <w:szCs w:val="24"/>
        </w:rPr>
        <w:lastRenderedPageBreak/>
        <w:t>financial loss: to the institution, to the student, and to society. Quantifying those losses gives the model a concrete business case and a defensible return on investment (ROI).</w:t>
      </w:r>
    </w:p>
    <w:p w14:paraId="762943D6" w14:textId="77777777" w:rsidR="00864B4A" w:rsidRDefault="00000000">
      <w:pPr>
        <w:spacing w:before="220" w:after="80"/>
      </w:pPr>
      <w:r>
        <w:rPr>
          <w:rFonts w:ascii="Arial" w:eastAsia="Arial" w:hAnsi="Arial" w:cs="Arial"/>
          <w:b/>
          <w:bCs/>
          <w:color w:val="2E75B6"/>
          <w:sz w:val="25"/>
          <w:szCs w:val="25"/>
        </w:rPr>
        <w:t>8.1 The Three Cost Components of Each Dropout</w:t>
      </w:r>
    </w:p>
    <w:p w14:paraId="281C547E" w14:textId="77777777" w:rsidR="00864B4A" w:rsidRDefault="00000000">
      <w:pPr>
        <w:spacing w:after="100"/>
      </w:pPr>
      <w:r>
        <w:rPr>
          <w:rFonts w:ascii="Arial" w:eastAsia="Arial" w:hAnsi="Arial" w:cs="Arial"/>
          <w:sz w:val="24"/>
          <w:szCs w:val="24"/>
        </w:rPr>
        <w:t>Each dropout student generates economic cost across three measurable layers, drawing on published institutional and economic data:</w:t>
      </w:r>
    </w:p>
    <w:p w14:paraId="61E2210A" w14:textId="77777777" w:rsidR="00864B4A" w:rsidRDefault="00000000">
      <w:pPr>
        <w:numPr>
          <w:ilvl w:val="0"/>
          <w:numId w:val="1"/>
        </w:numPr>
        <w:spacing w:after="70"/>
      </w:pPr>
      <w:r>
        <w:rPr>
          <w:rFonts w:ascii="Arial" w:eastAsia="Arial" w:hAnsi="Arial" w:cs="Arial"/>
          <w:b/>
          <w:bCs/>
          <w:sz w:val="22"/>
          <w:szCs w:val="22"/>
        </w:rPr>
        <w:t xml:space="preserve">Institutional tuition revenue </w:t>
      </w:r>
      <w:proofErr w:type="gramStart"/>
      <w:r>
        <w:rPr>
          <w:rFonts w:ascii="Arial" w:eastAsia="Arial" w:hAnsi="Arial" w:cs="Arial"/>
          <w:b/>
          <w:bCs/>
          <w:sz w:val="22"/>
          <w:szCs w:val="22"/>
        </w:rPr>
        <w:t>lost</w:t>
      </w:r>
      <w:proofErr w:type="gramEnd"/>
      <w:r>
        <w:rPr>
          <w:rFonts w:ascii="Arial" w:eastAsia="Arial" w:hAnsi="Arial" w:cs="Arial"/>
          <w:b/>
          <w:bCs/>
          <w:sz w:val="22"/>
          <w:szCs w:val="22"/>
        </w:rPr>
        <w:t xml:space="preserve">: EUR 1,568 per dropout. </w:t>
      </w:r>
      <w:r>
        <w:rPr>
          <w:rFonts w:ascii="Arial" w:eastAsia="Arial" w:hAnsi="Arial" w:cs="Arial"/>
          <w:sz w:val="22"/>
          <w:szCs w:val="22"/>
        </w:rPr>
        <w:t>Portuguese public polytechnics charge EUR 697/year (DGES, 2023). A student who drops out after 1.5 semesters leaves 2.25 years of tuition uncollected.</w:t>
      </w:r>
    </w:p>
    <w:p w14:paraId="3B1A7079" w14:textId="77777777" w:rsidR="00864B4A" w:rsidRDefault="00000000">
      <w:pPr>
        <w:numPr>
          <w:ilvl w:val="0"/>
          <w:numId w:val="1"/>
        </w:numPr>
        <w:spacing w:after="70"/>
      </w:pPr>
      <w:r>
        <w:rPr>
          <w:rFonts w:ascii="Arial" w:eastAsia="Arial" w:hAnsi="Arial" w:cs="Arial"/>
          <w:b/>
          <w:bCs/>
          <w:sz w:val="22"/>
          <w:szCs w:val="22"/>
        </w:rPr>
        <w:t xml:space="preserve">Institutional resources already spent: EUR 6,375 per dropout. </w:t>
      </w:r>
      <w:r>
        <w:rPr>
          <w:rFonts w:ascii="Arial" w:eastAsia="Arial" w:hAnsi="Arial" w:cs="Arial"/>
          <w:sz w:val="22"/>
          <w:szCs w:val="22"/>
        </w:rPr>
        <w:t xml:space="preserve">OECD (2023) estimates EUR 8,500/year in institutional expenditure per student (teaching staff, facilities, administration). For </w:t>
      </w:r>
      <w:proofErr w:type="gramStart"/>
      <w:r>
        <w:rPr>
          <w:rFonts w:ascii="Arial" w:eastAsia="Arial" w:hAnsi="Arial" w:cs="Arial"/>
          <w:sz w:val="22"/>
          <w:szCs w:val="22"/>
        </w:rPr>
        <w:t>the 0.75</w:t>
      </w:r>
      <w:proofErr w:type="gramEnd"/>
      <w:r>
        <w:rPr>
          <w:rFonts w:ascii="Arial" w:eastAsia="Arial" w:hAnsi="Arial" w:cs="Arial"/>
          <w:sz w:val="22"/>
          <w:szCs w:val="22"/>
        </w:rPr>
        <w:t xml:space="preserve"> years a typical dropout is enrolled, EUR 6,375 has already been spent on them.</w:t>
      </w:r>
    </w:p>
    <w:p w14:paraId="0059A4C2" w14:textId="77777777" w:rsidR="00864B4A" w:rsidRDefault="00000000">
      <w:pPr>
        <w:numPr>
          <w:ilvl w:val="0"/>
          <w:numId w:val="1"/>
        </w:numPr>
        <w:spacing w:after="70"/>
      </w:pPr>
      <w:r>
        <w:rPr>
          <w:rFonts w:ascii="Arial" w:eastAsia="Arial" w:hAnsi="Arial" w:cs="Arial"/>
          <w:b/>
          <w:bCs/>
          <w:sz w:val="22"/>
          <w:szCs w:val="22"/>
        </w:rPr>
        <w:t xml:space="preserve">Student lifetime earnings gap: EUR 400,000 per dropout. </w:t>
      </w:r>
      <w:r>
        <w:rPr>
          <w:rFonts w:ascii="Arial" w:eastAsia="Arial" w:hAnsi="Arial" w:cs="Arial"/>
          <w:sz w:val="22"/>
          <w:szCs w:val="22"/>
        </w:rPr>
        <w:t>Georgetown Center on Education and the Workforce (2021) estimates a $1M USD lifetime earnings gap between degree-holders and non-completers in the US. PPP-adjusted for Portugal (</w:t>
      </w:r>
      <w:proofErr w:type="spellStart"/>
      <w:r>
        <w:rPr>
          <w:rFonts w:ascii="Arial" w:eastAsia="Arial" w:hAnsi="Arial" w:cs="Arial"/>
          <w:sz w:val="22"/>
          <w:szCs w:val="22"/>
        </w:rPr>
        <w:t>Pordata</w:t>
      </w:r>
      <w:proofErr w:type="spellEnd"/>
      <w:r>
        <w:rPr>
          <w:rFonts w:ascii="Arial" w:eastAsia="Arial" w:hAnsi="Arial" w:cs="Arial"/>
          <w:sz w:val="22"/>
          <w:szCs w:val="22"/>
        </w:rPr>
        <w:t>, 2023), this is approximately EUR 400,000. This is borne entirely by the student.</w:t>
      </w:r>
    </w:p>
    <w:p w14:paraId="0A124EF1" w14:textId="77777777" w:rsidR="00864B4A" w:rsidRDefault="00000000">
      <w:pPr>
        <w:spacing w:before="120" w:after="100"/>
      </w:pPr>
      <w:r>
        <w:rPr>
          <w:rFonts w:ascii="Arial" w:eastAsia="Arial" w:hAnsi="Arial" w:cs="Arial"/>
          <w:b/>
          <w:bCs/>
          <w:sz w:val="24"/>
          <w:szCs w:val="24"/>
        </w:rPr>
        <w:t xml:space="preserve">Total per dropout student: </w:t>
      </w:r>
      <w:proofErr w:type="gramStart"/>
      <w:r>
        <w:rPr>
          <w:rFonts w:ascii="Arial" w:eastAsia="Arial" w:hAnsi="Arial" w:cs="Arial"/>
          <w:b/>
          <w:bCs/>
          <w:sz w:val="24"/>
          <w:szCs w:val="24"/>
        </w:rPr>
        <w:t>EUR 407,943</w:t>
      </w:r>
      <w:proofErr w:type="gramEnd"/>
      <w:r>
        <w:rPr>
          <w:rFonts w:ascii="Arial" w:eastAsia="Arial" w:hAnsi="Arial" w:cs="Arial"/>
          <w:b/>
          <w:bCs/>
          <w:sz w:val="24"/>
          <w:szCs w:val="24"/>
        </w:rPr>
        <w:t xml:space="preserve">. </w:t>
      </w:r>
      <w:r>
        <w:rPr>
          <w:rFonts w:ascii="Arial" w:eastAsia="Arial" w:hAnsi="Arial" w:cs="Arial"/>
          <w:sz w:val="24"/>
          <w:szCs w:val="24"/>
        </w:rPr>
        <w:t>Across all 1,421 dropout students in this dataset, the total economic cost exceeds EUR 579 million for one institution over one decade.</w:t>
      </w:r>
    </w:p>
    <w:p w14:paraId="7B6B2A52" w14:textId="77777777" w:rsidR="00864B4A" w:rsidRDefault="00000000">
      <w:pPr>
        <w:spacing w:before="220" w:after="80"/>
      </w:pPr>
      <w:r>
        <w:rPr>
          <w:rFonts w:ascii="Arial" w:eastAsia="Arial" w:hAnsi="Arial" w:cs="Arial"/>
          <w:b/>
          <w:bCs/>
          <w:color w:val="2E75B6"/>
          <w:sz w:val="25"/>
          <w:szCs w:val="25"/>
        </w:rPr>
        <w:t>8.2 Economic Value of This Predictive Model (ROI)</w:t>
      </w:r>
    </w:p>
    <w:p w14:paraId="594391E6" w14:textId="77777777" w:rsidR="00864B4A" w:rsidRDefault="00000000">
      <w:pPr>
        <w:spacing w:after="130"/>
      </w:pPr>
      <w:r>
        <w:rPr>
          <w:rFonts w:ascii="Arial" w:eastAsia="Arial" w:hAnsi="Arial" w:cs="Arial"/>
          <w:sz w:val="24"/>
          <w:szCs w:val="24"/>
        </w:rPr>
        <w:t>The model catches 81.3% of at-risk students (recall at threshold=0.40). If targeted advisor interventions retain even a conservative 20% of those flagged, the economic value generated far exceeds the cost of running the outreach program.</w:t>
      </w:r>
    </w:p>
    <w:p w14:paraId="10411ADF" w14:textId="77777777" w:rsidR="00864B4A" w:rsidRDefault="00000000">
      <w:pPr>
        <w:numPr>
          <w:ilvl w:val="0"/>
          <w:numId w:val="1"/>
        </w:numPr>
        <w:spacing w:after="70"/>
      </w:pPr>
      <w:r>
        <w:rPr>
          <w:rFonts w:ascii="Arial" w:eastAsia="Arial" w:hAnsi="Arial" w:cs="Arial"/>
          <w:sz w:val="22"/>
          <w:szCs w:val="22"/>
        </w:rPr>
        <w:t>Students flagged by model (81.3% recall of 1,421 dropouts): 1,155 students</w:t>
      </w:r>
    </w:p>
    <w:p w14:paraId="2CB08939" w14:textId="77777777" w:rsidR="00864B4A" w:rsidRDefault="00000000">
      <w:pPr>
        <w:numPr>
          <w:ilvl w:val="0"/>
          <w:numId w:val="1"/>
        </w:numPr>
        <w:spacing w:after="70"/>
      </w:pPr>
      <w:r>
        <w:rPr>
          <w:rFonts w:ascii="Arial" w:eastAsia="Arial" w:hAnsi="Arial" w:cs="Arial"/>
          <w:sz w:val="22"/>
          <w:szCs w:val="22"/>
        </w:rPr>
        <w:t>Students retained through advisor outreach (20% success rate): 231 students</w:t>
      </w:r>
    </w:p>
    <w:p w14:paraId="0B8D09A1" w14:textId="77777777" w:rsidR="00864B4A" w:rsidRDefault="00000000">
      <w:pPr>
        <w:numPr>
          <w:ilvl w:val="0"/>
          <w:numId w:val="1"/>
        </w:numPr>
        <w:spacing w:after="70"/>
      </w:pPr>
      <w:r>
        <w:rPr>
          <w:rFonts w:ascii="Arial" w:eastAsia="Arial" w:hAnsi="Arial" w:cs="Arial"/>
          <w:sz w:val="22"/>
          <w:szCs w:val="22"/>
        </w:rPr>
        <w:t>Economic value preserved per retained student: EUR 401,568 (tuition + lifetime earnings)</w:t>
      </w:r>
    </w:p>
    <w:p w14:paraId="3CB728A0" w14:textId="77777777" w:rsidR="00864B4A" w:rsidRDefault="00000000">
      <w:pPr>
        <w:numPr>
          <w:ilvl w:val="0"/>
          <w:numId w:val="1"/>
        </w:numPr>
        <w:spacing w:after="70"/>
      </w:pPr>
      <w:r>
        <w:rPr>
          <w:rFonts w:ascii="Arial" w:eastAsia="Arial" w:hAnsi="Arial" w:cs="Arial"/>
          <w:sz w:val="22"/>
          <w:szCs w:val="22"/>
        </w:rPr>
        <w:t>Total economic value saved: EUR 92.8 million</w:t>
      </w:r>
    </w:p>
    <w:p w14:paraId="599E525F" w14:textId="77777777" w:rsidR="00864B4A" w:rsidRDefault="00000000">
      <w:pPr>
        <w:numPr>
          <w:ilvl w:val="0"/>
          <w:numId w:val="1"/>
        </w:numPr>
        <w:spacing w:after="70"/>
      </w:pPr>
      <w:r>
        <w:rPr>
          <w:rFonts w:ascii="Arial" w:eastAsia="Arial" w:hAnsi="Arial" w:cs="Arial"/>
          <w:sz w:val="22"/>
          <w:szCs w:val="22"/>
        </w:rPr>
        <w:t>Cost of advisor outreach (EUR 500 per flagged student): EUR 578,000</w:t>
      </w:r>
    </w:p>
    <w:p w14:paraId="29CAF4F5" w14:textId="77777777" w:rsidR="00864B4A" w:rsidRDefault="00000000">
      <w:pPr>
        <w:spacing w:before="80" w:after="100"/>
      </w:pPr>
      <w:r>
        <w:rPr>
          <w:rFonts w:ascii="Arial" w:eastAsia="Arial" w:hAnsi="Arial" w:cs="Arial"/>
          <w:b/>
          <w:bCs/>
          <w:sz w:val="24"/>
          <w:szCs w:val="24"/>
        </w:rPr>
        <w:t xml:space="preserve">Net economic benefit: EUR 92.2 million. Return on investment: 160x. </w:t>
      </w:r>
      <w:r>
        <w:rPr>
          <w:rFonts w:ascii="Arial" w:eastAsia="Arial" w:hAnsi="Arial" w:cs="Arial"/>
          <w:sz w:val="24"/>
          <w:szCs w:val="24"/>
        </w:rPr>
        <w:t>For every EUR 1 spent on advisor outreach triggered by this model, approximately EUR 160 in combined economic value is preserved. This makes building and deploying the model a financially justified institutional decision, not merely an academic exercise.</w:t>
      </w:r>
    </w:p>
    <w:p w14:paraId="6A242ACD" w14:textId="77777777" w:rsidR="00864B4A" w:rsidRDefault="00000000">
      <w:pPr>
        <w:spacing w:before="220" w:after="80"/>
      </w:pPr>
      <w:r>
        <w:rPr>
          <w:rFonts w:ascii="Arial" w:eastAsia="Arial" w:hAnsi="Arial" w:cs="Arial"/>
          <w:b/>
          <w:bCs/>
          <w:color w:val="2E75B6"/>
          <w:sz w:val="25"/>
          <w:szCs w:val="25"/>
        </w:rPr>
        <w:t>8.3 Data Sources for Economic Estimates</w:t>
      </w:r>
    </w:p>
    <w:p w14:paraId="088AE579" w14:textId="77777777" w:rsidR="00864B4A" w:rsidRDefault="00000000">
      <w:pPr>
        <w:numPr>
          <w:ilvl w:val="0"/>
          <w:numId w:val="1"/>
        </w:numPr>
        <w:spacing w:after="70"/>
      </w:pPr>
      <w:r>
        <w:rPr>
          <w:rFonts w:ascii="Arial" w:eastAsia="Arial" w:hAnsi="Arial" w:cs="Arial"/>
          <w:i/>
          <w:iCs/>
          <w:sz w:val="21"/>
          <w:szCs w:val="21"/>
        </w:rPr>
        <w:t xml:space="preserve">DGES (2023). Portuguese higher education tuition fees. </w:t>
      </w:r>
      <w:proofErr w:type="spellStart"/>
      <w:r>
        <w:rPr>
          <w:rFonts w:ascii="Arial" w:eastAsia="Arial" w:hAnsi="Arial" w:cs="Arial"/>
          <w:i/>
          <w:iCs/>
          <w:sz w:val="21"/>
          <w:szCs w:val="21"/>
        </w:rPr>
        <w:t>Direção</w:t>
      </w:r>
      <w:proofErr w:type="spellEnd"/>
      <w:r>
        <w:rPr>
          <w:rFonts w:ascii="Arial" w:eastAsia="Arial" w:hAnsi="Arial" w:cs="Arial"/>
          <w:i/>
          <w:iCs/>
          <w:sz w:val="21"/>
          <w:szCs w:val="21"/>
        </w:rPr>
        <w:t>-Geral do Ensino Superior.</w:t>
      </w:r>
    </w:p>
    <w:p w14:paraId="5392151E" w14:textId="77777777" w:rsidR="00864B4A" w:rsidRDefault="00000000">
      <w:pPr>
        <w:numPr>
          <w:ilvl w:val="0"/>
          <w:numId w:val="1"/>
        </w:numPr>
        <w:spacing w:after="70"/>
      </w:pPr>
      <w:r>
        <w:rPr>
          <w:rFonts w:ascii="Arial" w:eastAsia="Arial" w:hAnsi="Arial" w:cs="Arial"/>
          <w:i/>
          <w:iCs/>
          <w:sz w:val="21"/>
          <w:szCs w:val="21"/>
        </w:rPr>
        <w:t xml:space="preserve">OECD (2023). Education </w:t>
      </w:r>
      <w:proofErr w:type="gramStart"/>
      <w:r>
        <w:rPr>
          <w:rFonts w:ascii="Arial" w:eastAsia="Arial" w:hAnsi="Arial" w:cs="Arial"/>
          <w:i/>
          <w:iCs/>
          <w:sz w:val="21"/>
          <w:szCs w:val="21"/>
        </w:rPr>
        <w:t>at a Glance</w:t>
      </w:r>
      <w:proofErr w:type="gramEnd"/>
      <w:r>
        <w:rPr>
          <w:rFonts w:ascii="Arial" w:eastAsia="Arial" w:hAnsi="Arial" w:cs="Arial"/>
          <w:i/>
          <w:iCs/>
          <w:sz w:val="21"/>
          <w:szCs w:val="21"/>
        </w:rPr>
        <w:t xml:space="preserve"> 2023: OECD Indicators. OECD Publishing.</w:t>
      </w:r>
    </w:p>
    <w:p w14:paraId="264108A6" w14:textId="77777777" w:rsidR="00864B4A" w:rsidRDefault="00000000">
      <w:pPr>
        <w:numPr>
          <w:ilvl w:val="0"/>
          <w:numId w:val="1"/>
        </w:numPr>
        <w:spacing w:after="70"/>
      </w:pPr>
      <w:r>
        <w:rPr>
          <w:rFonts w:ascii="Arial" w:eastAsia="Arial" w:hAnsi="Arial" w:cs="Arial"/>
          <w:i/>
          <w:iCs/>
          <w:sz w:val="21"/>
          <w:szCs w:val="21"/>
        </w:rPr>
        <w:t xml:space="preserve">Georgetown Center on Education and the Workforce (2021). </w:t>
      </w:r>
      <w:proofErr w:type="gramStart"/>
      <w:r>
        <w:rPr>
          <w:rFonts w:ascii="Arial" w:eastAsia="Arial" w:hAnsi="Arial" w:cs="Arial"/>
          <w:i/>
          <w:iCs/>
          <w:sz w:val="21"/>
          <w:szCs w:val="21"/>
        </w:rPr>
        <w:t>The College</w:t>
      </w:r>
      <w:proofErr w:type="gramEnd"/>
      <w:r>
        <w:rPr>
          <w:rFonts w:ascii="Arial" w:eastAsia="Arial" w:hAnsi="Arial" w:cs="Arial"/>
          <w:i/>
          <w:iCs/>
          <w:sz w:val="21"/>
          <w:szCs w:val="21"/>
        </w:rPr>
        <w:t xml:space="preserve"> Payoff: Education, Occupations, Lifetime Earnings.</w:t>
      </w:r>
    </w:p>
    <w:p w14:paraId="27F59F99" w14:textId="77777777" w:rsidR="00864B4A" w:rsidRDefault="00000000">
      <w:pPr>
        <w:numPr>
          <w:ilvl w:val="0"/>
          <w:numId w:val="1"/>
        </w:numPr>
        <w:spacing w:after="70"/>
      </w:pPr>
      <w:proofErr w:type="spellStart"/>
      <w:r>
        <w:rPr>
          <w:rFonts w:ascii="Arial" w:eastAsia="Arial" w:hAnsi="Arial" w:cs="Arial"/>
          <w:i/>
          <w:iCs/>
          <w:sz w:val="21"/>
          <w:szCs w:val="21"/>
        </w:rPr>
        <w:t>Pordata</w:t>
      </w:r>
      <w:proofErr w:type="spellEnd"/>
      <w:r>
        <w:rPr>
          <w:rFonts w:ascii="Arial" w:eastAsia="Arial" w:hAnsi="Arial" w:cs="Arial"/>
          <w:i/>
          <w:iCs/>
          <w:sz w:val="21"/>
          <w:szCs w:val="21"/>
        </w:rPr>
        <w:t xml:space="preserve"> (2023). Portugal economic indicators and purchasing power parity conversion factors.</w:t>
      </w:r>
    </w:p>
    <w:p w14:paraId="14F87B83" w14:textId="77777777" w:rsidR="00864B4A" w:rsidRDefault="00864B4A">
      <w:pPr>
        <w:spacing w:after="200"/>
      </w:pPr>
    </w:p>
    <w:p w14:paraId="1BA71CA5" w14:textId="77777777" w:rsidR="00864B4A" w:rsidRDefault="00864B4A">
      <w:pPr>
        <w:spacing w:after="160"/>
      </w:pPr>
    </w:p>
    <w:p w14:paraId="7502A76D" w14:textId="77777777" w:rsidR="00864B4A" w:rsidRDefault="00000000">
      <w:pPr>
        <w:spacing w:before="320" w:after="120"/>
      </w:pPr>
      <w:r>
        <w:rPr>
          <w:rFonts w:ascii="Arial" w:hAnsi="Arial" w:cs="Arial"/>
          <w:b/>
          <w:bCs/>
          <w:color w:val="1F4E79"/>
          <w:sz w:val="28"/>
          <w:szCs w:val="28"/>
        </w:rPr>
        <w:t>9. Advanced ML Analysis</w:t>
      </w:r>
    </w:p>
    <w:p w14:paraId="01DDF75D" w14:textId="77777777" w:rsidR="00864B4A" w:rsidRDefault="00000000">
      <w:pPr>
        <w:spacing w:after="130"/>
      </w:pPr>
      <w:r>
        <w:rPr>
          <w:rFonts w:ascii="Arial" w:hAnsi="Arial" w:cs="Arial"/>
          <w:sz w:val="24"/>
          <w:szCs w:val="24"/>
        </w:rPr>
        <w:lastRenderedPageBreak/>
        <w:t>This section adds three layers of rigorous ML validation that go beyond standard model evaluation: calibration analysis, learning curve diagnosis, and permutation-based feature importance. Together they answer questions that AUC and F1 score cannot.</w:t>
      </w:r>
    </w:p>
    <w:p w14:paraId="3B675A84" w14:textId="77777777" w:rsidR="00864B4A" w:rsidRDefault="00864B4A">
      <w:pPr>
        <w:spacing w:after="160"/>
      </w:pPr>
    </w:p>
    <w:p w14:paraId="0708487C" w14:textId="77777777" w:rsidR="00864B4A" w:rsidRDefault="00000000">
      <w:pPr>
        <w:spacing w:before="220" w:after="80"/>
      </w:pPr>
      <w:r>
        <w:rPr>
          <w:rFonts w:ascii="Arial" w:hAnsi="Arial" w:cs="Arial"/>
          <w:b/>
          <w:bCs/>
          <w:color w:val="2E75B6"/>
          <w:sz w:val="25"/>
          <w:szCs w:val="25"/>
        </w:rPr>
        <w:t>9.1 Model Calibration (Reliability Diagram)</w:t>
      </w:r>
    </w:p>
    <w:p w14:paraId="63D16EF2" w14:textId="77777777" w:rsidR="00864B4A" w:rsidRDefault="00000000">
      <w:pPr>
        <w:spacing w:after="130"/>
      </w:pPr>
      <w:r>
        <w:rPr>
          <w:rFonts w:ascii="Arial" w:hAnsi="Arial" w:cs="Arial"/>
          <w:sz w:val="24"/>
          <w:szCs w:val="24"/>
        </w:rPr>
        <w:t xml:space="preserve">A model achieving AUC = 0.936 ranks dropout </w:t>
      </w:r>
      <w:proofErr w:type="gramStart"/>
      <w:r>
        <w:rPr>
          <w:rFonts w:ascii="Arial" w:hAnsi="Arial" w:cs="Arial"/>
          <w:sz w:val="24"/>
          <w:szCs w:val="24"/>
        </w:rPr>
        <w:t>students correctly</w:t>
      </w:r>
      <w:proofErr w:type="gramEnd"/>
      <w:r>
        <w:rPr>
          <w:rFonts w:ascii="Arial" w:hAnsi="Arial" w:cs="Arial"/>
          <w:sz w:val="24"/>
          <w:szCs w:val="24"/>
        </w:rPr>
        <w:t xml:space="preserve"> 93.6% of the time, but AUC says nothing about whether predicted probabilities are meaningful. If the model outputs P(dropout) = 0.40 for a flagged student, do roughly 40% of such students truly drop out? This is the calibration question, and it determines whether institutional advisors can trust the model's probability scores for triage decisions.</w:t>
      </w:r>
    </w:p>
    <w:p w14:paraId="749A3911" w14:textId="77777777" w:rsidR="00864B4A" w:rsidRDefault="00000000">
      <w:pPr>
        <w:spacing w:after="130"/>
      </w:pPr>
      <w:r>
        <w:rPr>
          <w:rFonts w:ascii="Arial" w:hAnsi="Arial" w:cs="Arial"/>
          <w:sz w:val="24"/>
          <w:szCs w:val="24"/>
        </w:rPr>
        <w:t xml:space="preserve">The reliability diagram plots mean predicted probability against the actual fraction of positives per bin. A perfectly calibrated model falls on the 45-degree diagonal. The Brier Score (Brier, 1950) is a proper scoring rule combining calibration and discrimination: BS = (1/n) </w:t>
      </w:r>
      <w:proofErr w:type="gramStart"/>
      <w:r>
        <w:rPr>
          <w:rFonts w:ascii="Arial" w:hAnsi="Arial" w:cs="Arial"/>
          <w:sz w:val="24"/>
          <w:szCs w:val="24"/>
        </w:rPr>
        <w:t>sum[</w:t>
      </w:r>
      <w:proofErr w:type="gramEnd"/>
      <w:r>
        <w:rPr>
          <w:rFonts w:ascii="Arial" w:hAnsi="Arial" w:cs="Arial"/>
          <w:sz w:val="24"/>
          <w:szCs w:val="24"/>
        </w:rPr>
        <w:t>(</w:t>
      </w:r>
      <w:proofErr w:type="spellStart"/>
      <w:r>
        <w:rPr>
          <w:rFonts w:ascii="Arial" w:hAnsi="Arial" w:cs="Arial"/>
          <w:sz w:val="24"/>
          <w:szCs w:val="24"/>
        </w:rPr>
        <w:t>p_hat_i</w:t>
      </w:r>
      <w:proofErr w:type="spellEnd"/>
      <w:r>
        <w:rPr>
          <w:rFonts w:ascii="Arial" w:hAnsi="Arial" w:cs="Arial"/>
          <w:sz w:val="24"/>
          <w:szCs w:val="24"/>
        </w:rPr>
        <w:t xml:space="preserve"> - </w:t>
      </w:r>
      <w:proofErr w:type="spellStart"/>
      <w:r>
        <w:rPr>
          <w:rFonts w:ascii="Arial" w:hAnsi="Arial" w:cs="Arial"/>
          <w:sz w:val="24"/>
          <w:szCs w:val="24"/>
        </w:rPr>
        <w:t>y_</w:t>
      </w:r>
      <w:proofErr w:type="gramStart"/>
      <w:r>
        <w:rPr>
          <w:rFonts w:ascii="Arial" w:hAnsi="Arial" w:cs="Arial"/>
          <w:sz w:val="24"/>
          <w:szCs w:val="24"/>
        </w:rPr>
        <w:t>i</w:t>
      </w:r>
      <w:proofErr w:type="spellEnd"/>
      <w:r>
        <w:rPr>
          <w:rFonts w:ascii="Arial" w:hAnsi="Arial" w:cs="Arial"/>
          <w:sz w:val="24"/>
          <w:szCs w:val="24"/>
        </w:rPr>
        <w:t>)^</w:t>
      </w:r>
      <w:proofErr w:type="gramEnd"/>
      <w:r>
        <w:rPr>
          <w:rFonts w:ascii="Arial" w:hAnsi="Arial" w:cs="Arial"/>
          <w:sz w:val="24"/>
          <w:szCs w:val="24"/>
        </w:rPr>
        <w:t>2]. BS = 0 is perfect; BS = 0.25 is a no-skill classifier. Analysis confirms the Gradient Boosting model achieves BS = 0.095, well within the excellent range, with only minor underestimation in the mid-probability range. Isotonic regression post-calibration reduces this marginally to BS = 0.094, confirming the model's probability outputs are trustworthy for deployment without mandatory post-processing.</w:t>
      </w:r>
    </w:p>
    <w:p w14:paraId="5B8C2461" w14:textId="77777777" w:rsidR="00864B4A" w:rsidRDefault="00000000">
      <w:pPr>
        <w:spacing w:after="130"/>
      </w:pPr>
      <w:r>
        <w:rPr>
          <w:rFonts w:ascii="Arial" w:hAnsi="Arial" w:cs="Arial"/>
          <w:sz w:val="24"/>
          <w:szCs w:val="24"/>
        </w:rPr>
        <w:t>Reference: Niculescu-Mizil &amp; Caruana (2005). Predicting good probabilities with supervised learning. ICML 2005.</w:t>
      </w:r>
    </w:p>
    <w:p w14:paraId="2A5C89F6" w14:textId="77777777" w:rsidR="00864B4A" w:rsidRDefault="00864B4A">
      <w:pPr>
        <w:spacing w:after="160"/>
      </w:pPr>
    </w:p>
    <w:p w14:paraId="3B256B59" w14:textId="77777777" w:rsidR="00864B4A" w:rsidRDefault="00000000">
      <w:pPr>
        <w:spacing w:before="220" w:after="80"/>
      </w:pPr>
      <w:r>
        <w:rPr>
          <w:rFonts w:ascii="Arial" w:hAnsi="Arial" w:cs="Arial"/>
          <w:b/>
          <w:bCs/>
          <w:color w:val="2E75B6"/>
          <w:sz w:val="25"/>
          <w:szCs w:val="25"/>
        </w:rPr>
        <w:t>9.2 Learning Curves: Bias-Variance Diagnosis</w:t>
      </w:r>
    </w:p>
    <w:p w14:paraId="25940C07" w14:textId="77777777" w:rsidR="00864B4A" w:rsidRDefault="00000000">
      <w:pPr>
        <w:spacing w:after="130"/>
      </w:pPr>
      <w:r>
        <w:rPr>
          <w:rFonts w:ascii="Arial" w:hAnsi="Arial" w:cs="Arial"/>
          <w:sz w:val="24"/>
          <w:szCs w:val="24"/>
        </w:rPr>
        <w:t>Learning curves train the model on progressively larger subsets of training data and record both training AUC and cross-validation AUC at each size. The pattern reveals whether the model is limited by data volume or model capacity.</w:t>
      </w:r>
    </w:p>
    <w:p w14:paraId="3B9E2217" w14:textId="77777777" w:rsidR="00864B4A" w:rsidRDefault="00000000">
      <w:pPr>
        <w:numPr>
          <w:ilvl w:val="0"/>
          <w:numId w:val="1"/>
        </w:numPr>
        <w:spacing w:after="70"/>
      </w:pPr>
      <w:r>
        <w:rPr>
          <w:rFonts w:ascii="Arial" w:hAnsi="Arial" w:cs="Arial"/>
          <w:sz w:val="22"/>
          <w:szCs w:val="22"/>
        </w:rPr>
        <w:t xml:space="preserve">If training AUC &gt;&gt; CV AUC at all sizes: High Variance (overfitting) -- add data or </w:t>
      </w:r>
      <w:proofErr w:type="spellStart"/>
      <w:r>
        <w:rPr>
          <w:rFonts w:ascii="Arial" w:hAnsi="Arial" w:cs="Arial"/>
          <w:sz w:val="22"/>
          <w:szCs w:val="22"/>
        </w:rPr>
        <w:t>regularisation</w:t>
      </w:r>
      <w:proofErr w:type="spellEnd"/>
    </w:p>
    <w:p w14:paraId="3C8E9303" w14:textId="77777777" w:rsidR="00864B4A" w:rsidRDefault="00000000">
      <w:pPr>
        <w:numPr>
          <w:ilvl w:val="0"/>
          <w:numId w:val="1"/>
        </w:numPr>
        <w:spacing w:after="70"/>
      </w:pPr>
      <w:r>
        <w:rPr>
          <w:rFonts w:ascii="Arial" w:hAnsi="Arial" w:cs="Arial"/>
          <w:sz w:val="22"/>
          <w:szCs w:val="22"/>
        </w:rPr>
        <w:t>If both AUCs are low: High Bias (underfitting) -- increase model complexity</w:t>
      </w:r>
    </w:p>
    <w:p w14:paraId="44AABEF2" w14:textId="77777777" w:rsidR="00864B4A" w:rsidRDefault="00000000">
      <w:pPr>
        <w:numPr>
          <w:ilvl w:val="0"/>
          <w:numId w:val="1"/>
        </w:numPr>
        <w:spacing w:after="70"/>
      </w:pPr>
      <w:r>
        <w:rPr>
          <w:rFonts w:ascii="Arial" w:hAnsi="Arial" w:cs="Arial"/>
          <w:sz w:val="22"/>
          <w:szCs w:val="22"/>
        </w:rPr>
        <w:t>If both converge at high values: Well-fitted -- additional data yields diminishing returns</w:t>
      </w:r>
    </w:p>
    <w:p w14:paraId="656C101F" w14:textId="77777777" w:rsidR="00864B4A" w:rsidRDefault="00000000">
      <w:pPr>
        <w:numPr>
          <w:ilvl w:val="0"/>
          <w:numId w:val="1"/>
        </w:numPr>
        <w:spacing w:after="70"/>
      </w:pPr>
      <w:r>
        <w:rPr>
          <w:rFonts w:ascii="Arial" w:hAnsi="Arial" w:cs="Arial"/>
          <w:sz w:val="22"/>
          <w:szCs w:val="22"/>
        </w:rPr>
        <w:t>If CV AUC is still rising at full size: Data-starved -- collect more records</w:t>
      </w:r>
    </w:p>
    <w:p w14:paraId="7DB356AA" w14:textId="77777777" w:rsidR="00864B4A" w:rsidRDefault="00000000">
      <w:pPr>
        <w:spacing w:after="130"/>
      </w:pPr>
      <w:r>
        <w:rPr>
          <w:rFonts w:ascii="Arial" w:hAnsi="Arial" w:cs="Arial"/>
          <w:sz w:val="24"/>
          <w:szCs w:val="24"/>
        </w:rPr>
        <w:t xml:space="preserve">Analysis reveals a moderate bias-variance gap of 0.046 (Training AUC = 0.982 vs CV AUC = 0.936), indicating light overfitting. The CV AUC slope remains slightly positive at the maximum training size, suggesting additional student records would modestly improve </w:t>
      </w:r>
      <w:proofErr w:type="spellStart"/>
      <w:r>
        <w:rPr>
          <w:rFonts w:ascii="Arial" w:hAnsi="Arial" w:cs="Arial"/>
          <w:sz w:val="24"/>
          <w:szCs w:val="24"/>
        </w:rPr>
        <w:t>generalisation</w:t>
      </w:r>
      <w:proofErr w:type="spellEnd"/>
      <w:r>
        <w:rPr>
          <w:rFonts w:ascii="Arial" w:hAnsi="Arial" w:cs="Arial"/>
          <w:sz w:val="24"/>
          <w:szCs w:val="24"/>
        </w:rPr>
        <w:t>. This motivates periodic retraining as the institution collects new cohort data.</w:t>
      </w:r>
    </w:p>
    <w:p w14:paraId="6410BD0E" w14:textId="77777777" w:rsidR="00864B4A" w:rsidRDefault="00000000">
      <w:pPr>
        <w:spacing w:after="130"/>
      </w:pPr>
      <w:r>
        <w:rPr>
          <w:rFonts w:ascii="Arial" w:hAnsi="Arial" w:cs="Arial"/>
          <w:sz w:val="24"/>
          <w:szCs w:val="24"/>
        </w:rPr>
        <w:t>Reference: Domingos, P. (2012). A few useful things to know about machine learning. CACM, 55(10), 78-87.</w:t>
      </w:r>
    </w:p>
    <w:p w14:paraId="7131A151" w14:textId="77777777" w:rsidR="00864B4A" w:rsidRDefault="00864B4A">
      <w:pPr>
        <w:spacing w:after="160"/>
      </w:pPr>
    </w:p>
    <w:p w14:paraId="18069B76" w14:textId="77777777" w:rsidR="00864B4A" w:rsidRDefault="00000000">
      <w:pPr>
        <w:spacing w:before="220" w:after="80"/>
      </w:pPr>
      <w:r>
        <w:rPr>
          <w:rFonts w:ascii="Arial" w:hAnsi="Arial" w:cs="Arial"/>
          <w:b/>
          <w:bCs/>
          <w:color w:val="2E75B6"/>
          <w:sz w:val="25"/>
          <w:szCs w:val="25"/>
        </w:rPr>
        <w:t>9.3 Permutation Importance: Model-Agnostic, Bias-Corrected</w:t>
      </w:r>
    </w:p>
    <w:p w14:paraId="5086BB3C" w14:textId="77777777" w:rsidR="00864B4A" w:rsidRDefault="00000000">
      <w:pPr>
        <w:spacing w:after="130"/>
      </w:pPr>
      <w:r>
        <w:rPr>
          <w:rFonts w:ascii="Arial" w:hAnsi="Arial" w:cs="Arial"/>
          <w:sz w:val="24"/>
          <w:szCs w:val="24"/>
        </w:rPr>
        <w:t xml:space="preserve">Standard Gini </w:t>
      </w:r>
      <w:proofErr w:type="gramStart"/>
      <w:r>
        <w:rPr>
          <w:rFonts w:ascii="Arial" w:hAnsi="Arial" w:cs="Arial"/>
          <w:sz w:val="24"/>
          <w:szCs w:val="24"/>
        </w:rPr>
        <w:t>impurity importance</w:t>
      </w:r>
      <w:proofErr w:type="gramEnd"/>
      <w:r>
        <w:rPr>
          <w:rFonts w:ascii="Arial" w:hAnsi="Arial" w:cs="Arial"/>
          <w:sz w:val="24"/>
          <w:szCs w:val="24"/>
        </w:rPr>
        <w:t xml:space="preserve"> systematically over-rates high-cardinality continuous features and is distorted when correlated features compete for the same split. Permutation importance (Fisher et al., 2019) corrects this by measuring the actual AUC drop when each </w:t>
      </w:r>
      <w:r>
        <w:rPr>
          <w:rFonts w:ascii="Arial" w:hAnsi="Arial" w:cs="Arial"/>
          <w:sz w:val="24"/>
          <w:szCs w:val="24"/>
        </w:rPr>
        <w:lastRenderedPageBreak/>
        <w:t>feature is randomly shuffled. A large drop = the feature genuinely matters; a small drop = the model can compensate using correlated substitutes.</w:t>
      </w:r>
    </w:p>
    <w:p w14:paraId="5BC9BD91" w14:textId="77777777" w:rsidR="00864B4A" w:rsidRDefault="00000000">
      <w:pPr>
        <w:spacing w:after="130"/>
      </w:pPr>
      <w:r>
        <w:rPr>
          <w:rFonts w:ascii="Arial" w:hAnsi="Arial" w:cs="Arial"/>
          <w:sz w:val="24"/>
          <w:szCs w:val="24"/>
        </w:rPr>
        <w:t xml:space="preserve">Permutation analysis confirms the engineered features dominate: sem2_approval_rate (AUC drop = 0.162) and </w:t>
      </w:r>
      <w:proofErr w:type="spellStart"/>
      <w:r>
        <w:rPr>
          <w:rFonts w:ascii="Arial" w:hAnsi="Arial" w:cs="Arial"/>
          <w:sz w:val="24"/>
          <w:szCs w:val="24"/>
        </w:rPr>
        <w:t>total_approved</w:t>
      </w:r>
      <w:proofErr w:type="spellEnd"/>
      <w:r>
        <w:rPr>
          <w:rFonts w:ascii="Arial" w:hAnsi="Arial" w:cs="Arial"/>
          <w:sz w:val="24"/>
          <w:szCs w:val="24"/>
        </w:rPr>
        <w:t xml:space="preserve"> (0.144) lead the ranking. Critically, Tuition fees up to date rises from position 5 in Gini importance to position 3 in permutation importance (0.093 AUC drop), revealing that Gini underestimated its independent contribution due to the collinearity between </w:t>
      </w:r>
      <w:proofErr w:type="spellStart"/>
      <w:r>
        <w:rPr>
          <w:rFonts w:ascii="Arial" w:hAnsi="Arial" w:cs="Arial"/>
          <w:sz w:val="24"/>
          <w:szCs w:val="24"/>
        </w:rPr>
        <w:t>total_approved</w:t>
      </w:r>
      <w:proofErr w:type="spellEnd"/>
      <w:r>
        <w:rPr>
          <w:rFonts w:ascii="Arial" w:hAnsi="Arial" w:cs="Arial"/>
          <w:sz w:val="24"/>
          <w:szCs w:val="24"/>
        </w:rPr>
        <w:t xml:space="preserve"> and the raw 2nd-semester approved count. The error bars across 10 shuffle repetitions are small relative to the mean drops, confirming ranking stability.</w:t>
      </w:r>
    </w:p>
    <w:p w14:paraId="657A5C88" w14:textId="77777777" w:rsidR="00864B4A" w:rsidRDefault="00000000">
      <w:pPr>
        <w:spacing w:after="130"/>
      </w:pPr>
      <w:r>
        <w:rPr>
          <w:rFonts w:ascii="Arial" w:hAnsi="Arial" w:cs="Arial"/>
          <w:sz w:val="24"/>
          <w:szCs w:val="24"/>
        </w:rPr>
        <w:t>Reference: Fisher, Rudin &amp; Dominici (2019). All models are wrong, but many are useful. JMLR, 20(177), 1-81.</w:t>
      </w:r>
    </w:p>
    <w:p w14:paraId="223CCD16" w14:textId="77777777" w:rsidR="00864B4A" w:rsidRDefault="00864B4A">
      <w:pPr>
        <w:spacing w:after="160"/>
      </w:pPr>
    </w:p>
    <w:p w14:paraId="11948C41" w14:textId="77777777" w:rsidR="00864B4A" w:rsidRDefault="00000000">
      <w:pPr>
        <w:spacing w:before="320" w:after="120"/>
      </w:pPr>
      <w:r>
        <w:rPr>
          <w:rFonts w:ascii="Arial" w:hAnsi="Arial" w:cs="Arial"/>
          <w:b/>
          <w:bCs/>
          <w:color w:val="1F4E79"/>
          <w:sz w:val="28"/>
          <w:szCs w:val="28"/>
        </w:rPr>
        <w:t>10. Advanced Econometrics: Kaplan-Meier Survival Analysis</w:t>
      </w:r>
    </w:p>
    <w:p w14:paraId="0AD54321" w14:textId="77777777" w:rsidR="00864B4A" w:rsidRDefault="00000000">
      <w:pPr>
        <w:spacing w:after="130"/>
      </w:pPr>
      <w:r>
        <w:rPr>
          <w:rFonts w:ascii="Arial" w:hAnsi="Arial" w:cs="Arial"/>
          <w:sz w:val="24"/>
          <w:szCs w:val="24"/>
        </w:rPr>
        <w:t>All models in Sections 5-9 treat dropout as a static binary label: did the student eventually drop out? This discards crucial temporal information. Dropout is fundamentally a time-to-event process: students face a dropout hazard at each semester, and the hazard rate is not constant over time.</w:t>
      </w:r>
    </w:p>
    <w:p w14:paraId="327CEE3B" w14:textId="77777777" w:rsidR="00864B4A" w:rsidRDefault="00000000">
      <w:pPr>
        <w:spacing w:after="130"/>
      </w:pPr>
      <w:r>
        <w:rPr>
          <w:rFonts w:ascii="Arial" w:hAnsi="Arial" w:cs="Arial"/>
          <w:sz w:val="24"/>
          <w:szCs w:val="24"/>
        </w:rPr>
        <w:t xml:space="preserve">Kaplan-Meier (1958) is the nonparametric gold standard for survival analysis. The KM survival function is S(t) = product over all </w:t>
      </w:r>
      <w:proofErr w:type="spellStart"/>
      <w:r>
        <w:rPr>
          <w:rFonts w:ascii="Arial" w:hAnsi="Arial" w:cs="Arial"/>
          <w:sz w:val="24"/>
          <w:szCs w:val="24"/>
        </w:rPr>
        <w:t>t_i</w:t>
      </w:r>
      <w:proofErr w:type="spellEnd"/>
      <w:r>
        <w:rPr>
          <w:rFonts w:ascii="Arial" w:hAnsi="Arial" w:cs="Arial"/>
          <w:sz w:val="24"/>
          <w:szCs w:val="24"/>
        </w:rPr>
        <w:t xml:space="preserve"> &lt;= t of (1 - </w:t>
      </w:r>
      <w:proofErr w:type="spellStart"/>
      <w:r>
        <w:rPr>
          <w:rFonts w:ascii="Arial" w:hAnsi="Arial" w:cs="Arial"/>
          <w:sz w:val="24"/>
          <w:szCs w:val="24"/>
        </w:rPr>
        <w:t>d_i</w:t>
      </w:r>
      <w:proofErr w:type="spellEnd"/>
      <w:r>
        <w:rPr>
          <w:rFonts w:ascii="Arial" w:hAnsi="Arial" w:cs="Arial"/>
          <w:sz w:val="24"/>
          <w:szCs w:val="24"/>
        </w:rPr>
        <w:t>/</w:t>
      </w:r>
      <w:proofErr w:type="spellStart"/>
      <w:r>
        <w:rPr>
          <w:rFonts w:ascii="Arial" w:hAnsi="Arial" w:cs="Arial"/>
          <w:sz w:val="24"/>
          <w:szCs w:val="24"/>
        </w:rPr>
        <w:t>n_i</w:t>
      </w:r>
      <w:proofErr w:type="spellEnd"/>
      <w:r>
        <w:rPr>
          <w:rFonts w:ascii="Arial" w:hAnsi="Arial" w:cs="Arial"/>
          <w:sz w:val="24"/>
          <w:szCs w:val="24"/>
        </w:rPr>
        <w:t xml:space="preserve">), where </w:t>
      </w:r>
      <w:proofErr w:type="spellStart"/>
      <w:r>
        <w:rPr>
          <w:rFonts w:ascii="Arial" w:hAnsi="Arial" w:cs="Arial"/>
          <w:sz w:val="24"/>
          <w:szCs w:val="24"/>
        </w:rPr>
        <w:t>d_i</w:t>
      </w:r>
      <w:proofErr w:type="spellEnd"/>
      <w:r>
        <w:rPr>
          <w:rFonts w:ascii="Arial" w:hAnsi="Arial" w:cs="Arial"/>
          <w:sz w:val="24"/>
          <w:szCs w:val="24"/>
        </w:rPr>
        <w:t xml:space="preserve"> is the number of dropout events at time </w:t>
      </w:r>
      <w:proofErr w:type="spellStart"/>
      <w:r>
        <w:rPr>
          <w:rFonts w:ascii="Arial" w:hAnsi="Arial" w:cs="Arial"/>
          <w:sz w:val="24"/>
          <w:szCs w:val="24"/>
        </w:rPr>
        <w:t>t_i</w:t>
      </w:r>
      <w:proofErr w:type="spellEnd"/>
      <w:r>
        <w:rPr>
          <w:rFonts w:ascii="Arial" w:hAnsi="Arial" w:cs="Arial"/>
          <w:sz w:val="24"/>
          <w:szCs w:val="24"/>
        </w:rPr>
        <w:t xml:space="preserve"> and </w:t>
      </w:r>
      <w:proofErr w:type="spellStart"/>
      <w:r>
        <w:rPr>
          <w:rFonts w:ascii="Arial" w:hAnsi="Arial" w:cs="Arial"/>
          <w:sz w:val="24"/>
          <w:szCs w:val="24"/>
        </w:rPr>
        <w:t>n_i</w:t>
      </w:r>
      <w:proofErr w:type="spellEnd"/>
      <w:r>
        <w:rPr>
          <w:rFonts w:ascii="Arial" w:hAnsi="Arial" w:cs="Arial"/>
          <w:sz w:val="24"/>
          <w:szCs w:val="24"/>
        </w:rPr>
        <w:t xml:space="preserve"> is the number of students still at risk just before </w:t>
      </w:r>
      <w:proofErr w:type="spellStart"/>
      <w:r>
        <w:rPr>
          <w:rFonts w:ascii="Arial" w:hAnsi="Arial" w:cs="Arial"/>
          <w:sz w:val="24"/>
          <w:szCs w:val="24"/>
        </w:rPr>
        <w:t>t_i</w:t>
      </w:r>
      <w:proofErr w:type="spellEnd"/>
      <w:r>
        <w:rPr>
          <w:rFonts w:ascii="Arial" w:hAnsi="Arial" w:cs="Arial"/>
          <w:sz w:val="24"/>
          <w:szCs w:val="24"/>
        </w:rPr>
        <w:t>. Students still Enrolled at data cutoff are right-censored observations -- they have survived to semester 2 but their final outcome is unknown. KM correctly handles censoring; logistic regression ignores it entirely, biasing the estimated dropout rate upward.</w:t>
      </w:r>
    </w:p>
    <w:p w14:paraId="7DCC0B79" w14:textId="77777777" w:rsidR="00864B4A" w:rsidRDefault="00000000">
      <w:pPr>
        <w:spacing w:after="130"/>
      </w:pPr>
      <w:r>
        <w:rPr>
          <w:rFonts w:ascii="Arial" w:hAnsi="Arial" w:cs="Arial"/>
          <w:sz w:val="24"/>
          <w:szCs w:val="24"/>
        </w:rPr>
        <w:t xml:space="preserve">Analysis reveals that the discrete hazard rate jumps from </w:t>
      </w:r>
      <w:proofErr w:type="gramStart"/>
      <w:r>
        <w:rPr>
          <w:rFonts w:ascii="Arial" w:hAnsi="Arial" w:cs="Arial"/>
          <w:sz w:val="24"/>
          <w:szCs w:val="24"/>
        </w:rPr>
        <w:t>h(</w:t>
      </w:r>
      <w:proofErr w:type="gramEnd"/>
      <w:r>
        <w:rPr>
          <w:rFonts w:ascii="Arial" w:hAnsi="Arial" w:cs="Arial"/>
          <w:sz w:val="24"/>
          <w:szCs w:val="24"/>
        </w:rPr>
        <w:t xml:space="preserve">semester 1) = 0.093 to </w:t>
      </w:r>
      <w:proofErr w:type="gramStart"/>
      <w:r>
        <w:rPr>
          <w:rFonts w:ascii="Arial" w:hAnsi="Arial" w:cs="Arial"/>
          <w:sz w:val="24"/>
          <w:szCs w:val="24"/>
        </w:rPr>
        <w:t>h(</w:t>
      </w:r>
      <w:proofErr w:type="gramEnd"/>
      <w:r>
        <w:rPr>
          <w:rFonts w:ascii="Arial" w:hAnsi="Arial" w:cs="Arial"/>
          <w:sz w:val="24"/>
          <w:szCs w:val="24"/>
        </w:rPr>
        <w:t xml:space="preserve">semester 2) = 0.249 -- the conditional probability of dropping out more than doubles between the first and second semesters. This confirms that the end of semester 1 is the single most critical intervention window, which is not visible from a simple dropout rate calculation. Scholarship holders show a dramatically higher survival curve across both semesters, with the gap widening </w:t>
      </w:r>
      <w:proofErr w:type="gramStart"/>
      <w:r>
        <w:rPr>
          <w:rFonts w:ascii="Arial" w:hAnsi="Arial" w:cs="Arial"/>
          <w:sz w:val="24"/>
          <w:szCs w:val="24"/>
        </w:rPr>
        <w:t>at</w:t>
      </w:r>
      <w:proofErr w:type="gramEnd"/>
      <w:r>
        <w:rPr>
          <w:rFonts w:ascii="Arial" w:hAnsi="Arial" w:cs="Arial"/>
          <w:sz w:val="24"/>
          <w:szCs w:val="24"/>
        </w:rPr>
        <w:t xml:space="preserve"> semester 2.</w:t>
      </w:r>
    </w:p>
    <w:p w14:paraId="17E10A16" w14:textId="77777777" w:rsidR="00864B4A" w:rsidRDefault="00000000">
      <w:pPr>
        <w:spacing w:after="130"/>
      </w:pPr>
      <w:r>
        <w:rPr>
          <w:rFonts w:ascii="Arial" w:hAnsi="Arial" w:cs="Arial"/>
          <w:sz w:val="24"/>
          <w:szCs w:val="24"/>
        </w:rPr>
        <w:t>Reference: Kaplan, E. L., &amp; Meier, P. (1958). Nonparametric estimation from incomplete observations. JASA, 53(282), 457-481.</w:t>
      </w:r>
    </w:p>
    <w:p w14:paraId="2F4C9B7A" w14:textId="77777777" w:rsidR="00864B4A" w:rsidRDefault="00864B4A">
      <w:pPr>
        <w:spacing w:after="160"/>
      </w:pPr>
    </w:p>
    <w:p w14:paraId="28F5549D" w14:textId="77777777" w:rsidR="00864B4A" w:rsidRDefault="00000000">
      <w:pPr>
        <w:spacing w:before="320" w:after="120"/>
      </w:pPr>
      <w:r>
        <w:rPr>
          <w:rFonts w:ascii="Arial" w:hAnsi="Arial" w:cs="Arial"/>
          <w:b/>
          <w:bCs/>
          <w:color w:val="1F4E79"/>
          <w:sz w:val="28"/>
          <w:szCs w:val="28"/>
        </w:rPr>
        <w:t>11. Advanced Statistics: Bootstrap Confidence Intervals</w:t>
      </w:r>
    </w:p>
    <w:p w14:paraId="66BBD4D6" w14:textId="77777777" w:rsidR="00864B4A" w:rsidRDefault="00000000">
      <w:pPr>
        <w:spacing w:after="130"/>
      </w:pPr>
      <w:r>
        <w:rPr>
          <w:rFonts w:ascii="Arial" w:hAnsi="Arial" w:cs="Arial"/>
          <w:sz w:val="24"/>
          <w:szCs w:val="24"/>
        </w:rPr>
        <w:t xml:space="preserve">Every metric reported in Section 6 is a point estimate on one fixed test split. With n = 885 test observations, there is meaningful sampling uncertainty. Bootstrap confidence intervals (Efron &amp; </w:t>
      </w:r>
      <w:proofErr w:type="spellStart"/>
      <w:r>
        <w:rPr>
          <w:rFonts w:ascii="Arial" w:hAnsi="Arial" w:cs="Arial"/>
          <w:sz w:val="24"/>
          <w:szCs w:val="24"/>
        </w:rPr>
        <w:t>Tibshirani</w:t>
      </w:r>
      <w:proofErr w:type="spellEnd"/>
      <w:r>
        <w:rPr>
          <w:rFonts w:ascii="Arial" w:hAnsi="Arial" w:cs="Arial"/>
          <w:sz w:val="24"/>
          <w:szCs w:val="24"/>
        </w:rPr>
        <w:t>, 1994) quantify this by resampling the test set 1,000 times with replacement and computing the metric distribution. The 95% CI uses the percentile method: CI = [</w:t>
      </w:r>
      <w:proofErr w:type="gramStart"/>
      <w:r>
        <w:rPr>
          <w:rFonts w:ascii="Arial" w:hAnsi="Arial" w:cs="Arial"/>
          <w:sz w:val="24"/>
          <w:szCs w:val="24"/>
        </w:rPr>
        <w:t>Q(</w:t>
      </w:r>
      <w:proofErr w:type="gramEnd"/>
      <w:r>
        <w:rPr>
          <w:rFonts w:ascii="Arial" w:hAnsi="Arial" w:cs="Arial"/>
          <w:sz w:val="24"/>
          <w:szCs w:val="24"/>
        </w:rPr>
        <w:t xml:space="preserve">0.025), </w:t>
      </w:r>
      <w:proofErr w:type="gramStart"/>
      <w:r>
        <w:rPr>
          <w:rFonts w:ascii="Arial" w:hAnsi="Arial" w:cs="Arial"/>
          <w:sz w:val="24"/>
          <w:szCs w:val="24"/>
        </w:rPr>
        <w:t>Q(</w:t>
      </w:r>
      <w:proofErr w:type="gramEnd"/>
      <w:r>
        <w:rPr>
          <w:rFonts w:ascii="Arial" w:hAnsi="Arial" w:cs="Arial"/>
          <w:sz w:val="24"/>
          <w:szCs w:val="24"/>
        </w:rPr>
        <w:t>0.975)] of the bootstrap distribution.</w:t>
      </w:r>
    </w:p>
    <w:p w14:paraId="4EE112B9" w14:textId="77777777" w:rsidR="00864B4A" w:rsidRDefault="00000000">
      <w:pPr>
        <w:spacing w:after="130"/>
      </w:pPr>
      <w:r>
        <w:rPr>
          <w:rFonts w:ascii="Arial" w:hAnsi="Arial" w:cs="Arial"/>
          <w:sz w:val="24"/>
          <w:szCs w:val="24"/>
        </w:rPr>
        <w:t xml:space="preserve">Bootstrap analysis yields the following 95% confidence intervals for Gradient Boosting (Tuned): AUC = 0.936 [0.920, 0.950]; Accuracy = 0.877 [0.853, 0.898]; Precision = 0.805 [0.763, 0.845]; Recall = 0.813 [0.768, 0.859]; F1-Score = 0.809 [0.772, 0.843]. All AUC CI lower bounds are well above 0.50, confirming the model's discrimination is statistically </w:t>
      </w:r>
      <w:r>
        <w:rPr>
          <w:rFonts w:ascii="Arial" w:hAnsi="Arial" w:cs="Arial"/>
          <w:sz w:val="24"/>
          <w:szCs w:val="24"/>
        </w:rPr>
        <w:lastRenderedPageBreak/>
        <w:t>significant across all plausible test splits. Recall has the widest CI (width 0.092), confirming that single-point recall estimates are insufficient for reporting -- the bootstrap reveals the full range of plausible performance at deployment.</w:t>
      </w:r>
    </w:p>
    <w:p w14:paraId="2B981C26" w14:textId="77777777" w:rsidR="00864B4A" w:rsidRDefault="00000000">
      <w:pPr>
        <w:spacing w:after="130"/>
      </w:pPr>
      <w:r>
        <w:rPr>
          <w:rFonts w:ascii="Arial" w:hAnsi="Arial" w:cs="Arial"/>
          <w:sz w:val="24"/>
          <w:szCs w:val="24"/>
        </w:rPr>
        <w:t>These intervals should accompany any institutional report of model performance. A CI of [0.768, 0.859] for Recall tells decision-makers to expect the model to catch between 77-86% of dropouts in real deployment, not exactly 81.3%.</w:t>
      </w:r>
    </w:p>
    <w:p w14:paraId="057CA896" w14:textId="77777777" w:rsidR="00864B4A" w:rsidRDefault="00000000">
      <w:pPr>
        <w:spacing w:after="130"/>
      </w:pPr>
      <w:r>
        <w:rPr>
          <w:rFonts w:ascii="Arial" w:hAnsi="Arial" w:cs="Arial"/>
          <w:sz w:val="24"/>
          <w:szCs w:val="24"/>
        </w:rPr>
        <w:t xml:space="preserve">Reference: Efron, B., &amp; </w:t>
      </w:r>
      <w:proofErr w:type="spellStart"/>
      <w:r>
        <w:rPr>
          <w:rFonts w:ascii="Arial" w:hAnsi="Arial" w:cs="Arial"/>
          <w:sz w:val="24"/>
          <w:szCs w:val="24"/>
        </w:rPr>
        <w:t>Tibshirani</w:t>
      </w:r>
      <w:proofErr w:type="spellEnd"/>
      <w:r>
        <w:rPr>
          <w:rFonts w:ascii="Arial" w:hAnsi="Arial" w:cs="Arial"/>
          <w:sz w:val="24"/>
          <w:szCs w:val="24"/>
        </w:rPr>
        <w:t xml:space="preserve">, R. (1994). An Introduction to </w:t>
      </w:r>
      <w:proofErr w:type="gramStart"/>
      <w:r>
        <w:rPr>
          <w:rFonts w:ascii="Arial" w:hAnsi="Arial" w:cs="Arial"/>
          <w:sz w:val="24"/>
          <w:szCs w:val="24"/>
        </w:rPr>
        <w:t>the Bootstrap</w:t>
      </w:r>
      <w:proofErr w:type="gramEnd"/>
      <w:r>
        <w:rPr>
          <w:rFonts w:ascii="Arial" w:hAnsi="Arial" w:cs="Arial"/>
          <w:sz w:val="24"/>
          <w:szCs w:val="24"/>
        </w:rPr>
        <w:t>. Chapman &amp; Hall/CRC.</w:t>
      </w:r>
    </w:p>
    <w:p w14:paraId="1A5C409C" w14:textId="77777777" w:rsidR="00864B4A" w:rsidRDefault="00864B4A">
      <w:pPr>
        <w:spacing w:after="160"/>
      </w:pPr>
    </w:p>
    <w:p w14:paraId="60276A66" w14:textId="77777777" w:rsidR="00864B4A" w:rsidRDefault="00000000">
      <w:pPr>
        <w:spacing w:before="320" w:after="120"/>
      </w:pPr>
      <w:r>
        <w:rPr>
          <w:rFonts w:ascii="Arial" w:hAnsi="Arial" w:cs="Arial"/>
          <w:b/>
          <w:bCs/>
          <w:color w:val="1F4E79"/>
          <w:sz w:val="28"/>
          <w:szCs w:val="28"/>
        </w:rPr>
        <w:t>12. Microeconomics: Deadweight Loss, Elasticity &amp; Scholarship Multiplier</w:t>
      </w:r>
    </w:p>
    <w:p w14:paraId="6329C111" w14:textId="77777777" w:rsidR="00864B4A" w:rsidRDefault="00000000">
      <w:pPr>
        <w:spacing w:before="220" w:after="80"/>
      </w:pPr>
      <w:r>
        <w:rPr>
          <w:rFonts w:ascii="Arial" w:hAnsi="Arial" w:cs="Arial"/>
          <w:b/>
          <w:bCs/>
          <w:color w:val="2E75B6"/>
          <w:sz w:val="25"/>
          <w:szCs w:val="25"/>
        </w:rPr>
        <w:t>12.1 Deadweight Loss from the Dropout Market Failure</w:t>
      </w:r>
    </w:p>
    <w:p w14:paraId="53E0863C" w14:textId="77777777" w:rsidR="00864B4A" w:rsidRDefault="00000000">
      <w:pPr>
        <w:spacing w:after="130"/>
      </w:pPr>
      <w:r>
        <w:rPr>
          <w:rFonts w:ascii="Arial" w:hAnsi="Arial" w:cs="Arial"/>
          <w:sz w:val="24"/>
          <w:szCs w:val="24"/>
        </w:rPr>
        <w:t xml:space="preserve">In microeconomics, a deadweight loss (DWL) is the reduction in total social surplus from a market failure. Using the </w:t>
      </w:r>
      <w:proofErr w:type="spellStart"/>
      <w:r>
        <w:rPr>
          <w:rFonts w:ascii="Arial" w:hAnsi="Arial" w:cs="Arial"/>
          <w:sz w:val="24"/>
          <w:szCs w:val="24"/>
        </w:rPr>
        <w:t>Harberger</w:t>
      </w:r>
      <w:proofErr w:type="spellEnd"/>
      <w:r>
        <w:rPr>
          <w:rFonts w:ascii="Arial" w:hAnsi="Arial" w:cs="Arial"/>
          <w:sz w:val="24"/>
          <w:szCs w:val="24"/>
        </w:rPr>
        <w:t xml:space="preserve"> triangle formula (DWL = 0.5 x </w:t>
      </w:r>
      <w:proofErr w:type="spellStart"/>
      <w:r>
        <w:rPr>
          <w:rFonts w:ascii="Arial" w:hAnsi="Arial" w:cs="Arial"/>
          <w:sz w:val="24"/>
          <w:szCs w:val="24"/>
        </w:rPr>
        <w:t>delta_Q</w:t>
      </w:r>
      <w:proofErr w:type="spellEnd"/>
      <w:r>
        <w:rPr>
          <w:rFonts w:ascii="Arial" w:hAnsi="Arial" w:cs="Arial"/>
          <w:sz w:val="24"/>
          <w:szCs w:val="24"/>
        </w:rPr>
        <w:t xml:space="preserve"> x </w:t>
      </w:r>
      <w:proofErr w:type="spellStart"/>
      <w:r>
        <w:rPr>
          <w:rFonts w:ascii="Arial" w:hAnsi="Arial" w:cs="Arial"/>
          <w:sz w:val="24"/>
          <w:szCs w:val="24"/>
        </w:rPr>
        <w:t>delta_P</w:t>
      </w:r>
      <w:proofErr w:type="spellEnd"/>
      <w:r>
        <w:rPr>
          <w:rFonts w:ascii="Arial" w:hAnsi="Arial" w:cs="Arial"/>
          <w:sz w:val="24"/>
          <w:szCs w:val="24"/>
        </w:rPr>
        <w:t xml:space="preserve">, where </w:t>
      </w:r>
      <w:proofErr w:type="spellStart"/>
      <w:r>
        <w:rPr>
          <w:rFonts w:ascii="Arial" w:hAnsi="Arial" w:cs="Arial"/>
          <w:sz w:val="24"/>
          <w:szCs w:val="24"/>
        </w:rPr>
        <w:t>delta_Q</w:t>
      </w:r>
      <w:proofErr w:type="spellEnd"/>
      <w:r>
        <w:rPr>
          <w:rFonts w:ascii="Arial" w:hAnsi="Arial" w:cs="Arial"/>
          <w:sz w:val="24"/>
          <w:szCs w:val="24"/>
        </w:rPr>
        <w:t xml:space="preserve"> = students lost to dropout = 1,421 and </w:t>
      </w:r>
      <w:proofErr w:type="spellStart"/>
      <w:r>
        <w:rPr>
          <w:rFonts w:ascii="Arial" w:hAnsi="Arial" w:cs="Arial"/>
          <w:sz w:val="24"/>
          <w:szCs w:val="24"/>
        </w:rPr>
        <w:t>delta_P</w:t>
      </w:r>
      <w:proofErr w:type="spellEnd"/>
      <w:r>
        <w:rPr>
          <w:rFonts w:ascii="Arial" w:hAnsi="Arial" w:cs="Arial"/>
          <w:sz w:val="24"/>
          <w:szCs w:val="24"/>
        </w:rPr>
        <w:t xml:space="preserve"> = lifetime earnings gap = EUR 400,000), the deadweight loss from dropout at this institution is approximately EUR 284 million. This is the economic surplus that is destroyed by the market failure -- value generated by neither the institution (which loses tuition) nor the students (who forego lifetime earnings). It represents the upper bound on the social return available from eliminating dropout through better support systems.</w:t>
      </w:r>
    </w:p>
    <w:p w14:paraId="678A9C90" w14:textId="77777777" w:rsidR="00864B4A" w:rsidRDefault="00000000">
      <w:pPr>
        <w:spacing w:before="220" w:after="80"/>
      </w:pPr>
      <w:r>
        <w:rPr>
          <w:rFonts w:ascii="Arial" w:hAnsi="Arial" w:cs="Arial"/>
          <w:b/>
          <w:bCs/>
          <w:color w:val="2E75B6"/>
          <w:sz w:val="25"/>
          <w:szCs w:val="25"/>
        </w:rPr>
        <w:t>12.2 Price Elasticity of Dropout with Respect to Effective Cost</w:t>
      </w:r>
    </w:p>
    <w:p w14:paraId="4BA52850" w14:textId="77777777" w:rsidR="00864B4A" w:rsidRDefault="00000000">
      <w:pPr>
        <w:spacing w:after="130"/>
      </w:pPr>
      <w:r>
        <w:rPr>
          <w:rFonts w:ascii="Arial" w:hAnsi="Arial" w:cs="Arial"/>
          <w:sz w:val="24"/>
          <w:szCs w:val="24"/>
        </w:rPr>
        <w:t xml:space="preserve">How responsive is the dropout rate to the effective cost of attendance? Using a debtor vs. non-debtor arc elasticity as a natural experiment (debtors face approximately EUR 1,500 higher effective annual cost of attendance), the arc price elasticity of dropout is approximately 0.74. This is inelastic -- a 1% increase in effective cost is associated with only a 0.74% increase in the dropout rate. This has a critical policy implication: small tuition reductions alone will not dramatically reduce dropout rates. The financial barrier operates more as a threshold than a gradient -- once students cross the debt </w:t>
      </w:r>
      <w:proofErr w:type="gramStart"/>
      <w:r>
        <w:rPr>
          <w:rFonts w:ascii="Arial" w:hAnsi="Arial" w:cs="Arial"/>
          <w:sz w:val="24"/>
          <w:szCs w:val="24"/>
        </w:rPr>
        <w:t>threshold,</w:t>
      </w:r>
      <w:proofErr w:type="gramEnd"/>
      <w:r>
        <w:rPr>
          <w:rFonts w:ascii="Arial" w:hAnsi="Arial" w:cs="Arial"/>
          <w:sz w:val="24"/>
          <w:szCs w:val="24"/>
        </w:rPr>
        <w:t xml:space="preserve"> dropout probability becomes near-certain regardless of marginal cost changes. This means threshold-based interventions (eliminating debt entirely through full scholarships) outperform marginal cost reductions (small tuition discounts) in expected dropout prevention per EUR spent.</w:t>
      </w:r>
    </w:p>
    <w:p w14:paraId="1A086366" w14:textId="77777777" w:rsidR="00864B4A" w:rsidRDefault="00000000">
      <w:pPr>
        <w:spacing w:before="220" w:after="80"/>
      </w:pPr>
      <w:r>
        <w:rPr>
          <w:rFonts w:ascii="Arial" w:hAnsi="Arial" w:cs="Arial"/>
          <w:b/>
          <w:bCs/>
          <w:color w:val="2E75B6"/>
          <w:sz w:val="25"/>
          <w:szCs w:val="25"/>
        </w:rPr>
        <w:t>12.3 The Scholarship Economic Multiplier</w:t>
      </w:r>
    </w:p>
    <w:p w14:paraId="4EDA0DD4" w14:textId="77777777" w:rsidR="00864B4A" w:rsidRDefault="00000000">
      <w:pPr>
        <w:spacing w:after="130"/>
      </w:pPr>
      <w:r>
        <w:rPr>
          <w:rFonts w:ascii="Arial" w:hAnsi="Arial" w:cs="Arial"/>
          <w:sz w:val="24"/>
          <w:szCs w:val="24"/>
        </w:rPr>
        <w:t>Scholarship holders drop out at 14.0% vs 38.0% for non-holders -- a risk reduction of 24 percentage points. If a full scholarship costs EUR 2,000/year (EUR 6,000 over 3 years) and prevents the EUR 407,943 combined economic cost of dropout with 24% higher probability, the expected value prevented per scholarship is EUR 97,906. The scholarship multiplier is therefore approximately 16x: every EUR 1 invested in scholarships generates approximately EUR 16 in economic value through prevented dropout costs. This 16x multiplier makes scholarship expansion the highest-ROI retention investment available -- substantially more cost-effective than facilities expenditure, administrative expansion, or generic outreach programs that do not target the financial root cause of dropout.</w:t>
      </w:r>
    </w:p>
    <w:p w14:paraId="1E516CB0" w14:textId="77777777" w:rsidR="00864B4A" w:rsidRDefault="00864B4A">
      <w:pPr>
        <w:spacing w:after="160"/>
      </w:pPr>
    </w:p>
    <w:p w14:paraId="456B346D" w14:textId="29E2AD18" w:rsidR="00864B4A" w:rsidRDefault="00000000" w:rsidP="0080496E">
      <w:r>
        <w:rPr>
          <w:rFonts w:ascii="Arial" w:eastAsia="Arial" w:hAnsi="Arial" w:cs="Arial"/>
          <w:b/>
          <w:bCs/>
          <w:color w:val="1F4E79"/>
          <w:sz w:val="30"/>
          <w:szCs w:val="30"/>
        </w:rPr>
        <w:lastRenderedPageBreak/>
        <w:t>APPENDIX: Supplementary Figures and Metric Justification</w:t>
      </w:r>
    </w:p>
    <w:p w14:paraId="3CC7233F" w14:textId="77777777" w:rsidR="00864B4A" w:rsidRDefault="00000000">
      <w:pPr>
        <w:spacing w:after="200"/>
        <w:jc w:val="center"/>
      </w:pPr>
      <w:r>
        <w:rPr>
          <w:rFonts w:ascii="Arial" w:eastAsia="Arial" w:hAnsi="Arial" w:cs="Arial"/>
          <w:i/>
          <w:iCs/>
          <w:color w:val="555555"/>
          <w:sz w:val="22"/>
          <w:szCs w:val="22"/>
        </w:rPr>
        <w:t>Supporting visualizations and analytical detail for technical reviewers.</w:t>
      </w:r>
    </w:p>
    <w:p w14:paraId="3EA00612" w14:textId="77777777" w:rsidR="00864B4A" w:rsidRDefault="00864B4A">
      <w:pPr>
        <w:pBdr>
          <w:bottom w:val="single" w:sz="6" w:space="4" w:color="1F4E79"/>
        </w:pBdr>
        <w:spacing w:after="200"/>
      </w:pPr>
    </w:p>
    <w:p w14:paraId="1C15C6BE" w14:textId="77777777" w:rsidR="00864B4A" w:rsidRDefault="00000000">
      <w:pPr>
        <w:spacing w:before="60" w:after="60"/>
      </w:pPr>
      <w:r>
        <w:rPr>
          <w:rFonts w:ascii="Arial" w:eastAsia="Arial" w:hAnsi="Arial" w:cs="Arial"/>
          <w:b/>
          <w:bCs/>
          <w:color w:val="1F4E79"/>
          <w:sz w:val="21"/>
          <w:szCs w:val="21"/>
        </w:rPr>
        <w:t>Appendix A</w:t>
      </w:r>
      <w:r>
        <w:rPr>
          <w:rFonts w:ascii="Arial" w:eastAsia="Arial" w:hAnsi="Arial" w:cs="Arial"/>
          <w:sz w:val="21"/>
          <w:szCs w:val="21"/>
        </w:rPr>
        <w:t>: Univariate Numeric Feature Distributions</w:t>
      </w:r>
    </w:p>
    <w:p w14:paraId="0A763793" w14:textId="77777777" w:rsidR="00864B4A" w:rsidRDefault="00000000">
      <w:pPr>
        <w:pBdr>
          <w:left w:val="single" w:sz="6" w:space="8" w:color="2E75B6"/>
        </w:pBdr>
        <w:spacing w:after="180"/>
        <w:ind w:left="360"/>
      </w:pPr>
      <w:r>
        <w:rPr>
          <w:rFonts w:ascii="Arial" w:eastAsia="Arial" w:hAnsi="Arial" w:cs="Arial"/>
          <w:color w:val="333333"/>
          <w:sz w:val="21"/>
          <w:szCs w:val="21"/>
        </w:rPr>
        <w:t xml:space="preserve">Histograms of six key numeric predictors with median lines overlaid. Age at enrollment is </w:t>
      </w:r>
      <w:proofErr w:type="gramStart"/>
      <w:r>
        <w:rPr>
          <w:rFonts w:ascii="Arial" w:eastAsia="Arial" w:hAnsi="Arial" w:cs="Arial"/>
          <w:color w:val="333333"/>
          <w:sz w:val="21"/>
          <w:szCs w:val="21"/>
        </w:rPr>
        <w:t>right-skewed</w:t>
      </w:r>
      <w:proofErr w:type="gramEnd"/>
      <w:r>
        <w:rPr>
          <w:rFonts w:ascii="Arial" w:eastAsia="Arial" w:hAnsi="Arial" w:cs="Arial"/>
          <w:color w:val="333333"/>
          <w:sz w:val="21"/>
          <w:szCs w:val="21"/>
        </w:rPr>
        <w:t xml:space="preserve"> with a median around 20, reflecting a predominantly young student body with a tail of mature learners who face elevated dropout risk. Admission grade clusters tightly between 120 and 135, with few students at the extremes. The curricular unit approved counts for both semesters show a pronounced bimodal structure: a large spike at zero (dropout students who engaged with nothing) and a second peak around 5-6 for students who are progressing normally. The Unemployment rate distribution is roughly uniform across the 2008-2019 dataset window, covering both recession and recovery periods.</w:t>
      </w:r>
    </w:p>
    <w:p w14:paraId="743EBFFE" w14:textId="77777777" w:rsidR="00864B4A" w:rsidRDefault="00000000">
      <w:pPr>
        <w:spacing w:before="100"/>
        <w:jc w:val="center"/>
      </w:pPr>
      <w:r>
        <w:rPr>
          <w:noProof/>
        </w:rPr>
        <w:drawing>
          <wp:inline distT="0" distB="0" distL="0" distR="0" wp14:anchorId="4EE678C1" wp14:editId="7AB36BA9">
            <wp:extent cx="5238750" cy="1857375"/>
            <wp:effectExtent l="0" t="0" r="0" b="0"/>
            <wp:docPr id="1200748824" name="Picture 1200748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38750" cy="1857375"/>
                    </a:xfrm>
                    <a:prstGeom prst="rect">
                      <a:avLst/>
                    </a:prstGeom>
                  </pic:spPr>
                </pic:pic>
              </a:graphicData>
            </a:graphic>
          </wp:inline>
        </w:drawing>
      </w:r>
    </w:p>
    <w:p w14:paraId="265858F4" w14:textId="77777777" w:rsidR="00864B4A" w:rsidRDefault="00864B4A">
      <w:pPr>
        <w:spacing w:after="80"/>
      </w:pPr>
    </w:p>
    <w:p w14:paraId="26594EDA" w14:textId="77777777" w:rsidR="00864B4A" w:rsidRDefault="00000000">
      <w:pPr>
        <w:spacing w:before="60" w:after="60"/>
      </w:pPr>
      <w:r>
        <w:rPr>
          <w:rFonts w:ascii="Arial" w:eastAsia="Arial" w:hAnsi="Arial" w:cs="Arial"/>
          <w:b/>
          <w:bCs/>
          <w:color w:val="1F4E79"/>
          <w:sz w:val="21"/>
          <w:szCs w:val="21"/>
        </w:rPr>
        <w:t>Appendix B</w:t>
      </w:r>
      <w:r>
        <w:rPr>
          <w:rFonts w:ascii="Arial" w:eastAsia="Arial" w:hAnsi="Arial" w:cs="Arial"/>
          <w:sz w:val="21"/>
          <w:szCs w:val="21"/>
        </w:rPr>
        <w:t>: Decision Threshold Analysis and Metric Selection Justification</w:t>
      </w:r>
    </w:p>
    <w:p w14:paraId="4B32BC3D" w14:textId="77777777" w:rsidR="00864B4A" w:rsidRDefault="00000000">
      <w:pPr>
        <w:pBdr>
          <w:left w:val="single" w:sz="6" w:space="8" w:color="2E75B6"/>
        </w:pBdr>
        <w:spacing w:after="180"/>
        <w:ind w:left="360"/>
      </w:pPr>
      <w:r>
        <w:rPr>
          <w:rFonts w:ascii="Arial" w:eastAsia="Arial" w:hAnsi="Arial" w:cs="Arial"/>
          <w:color w:val="333333"/>
          <w:sz w:val="21"/>
          <w:szCs w:val="21"/>
        </w:rPr>
        <w:t xml:space="preserve">This analysis directly addresses the business question of which metric to </w:t>
      </w:r>
      <w:proofErr w:type="spellStart"/>
      <w:r>
        <w:rPr>
          <w:rFonts w:ascii="Arial" w:eastAsia="Arial" w:hAnsi="Arial" w:cs="Arial"/>
          <w:color w:val="333333"/>
          <w:sz w:val="21"/>
          <w:szCs w:val="21"/>
        </w:rPr>
        <w:t>optimise</w:t>
      </w:r>
      <w:proofErr w:type="spellEnd"/>
      <w:r>
        <w:rPr>
          <w:rFonts w:ascii="Arial" w:eastAsia="Arial" w:hAnsi="Arial" w:cs="Arial"/>
          <w:color w:val="333333"/>
          <w:sz w:val="21"/>
          <w:szCs w:val="21"/>
        </w:rPr>
        <w:t xml:space="preserve"> and what deployment threshold to use. The left chart shows Recall, Precision, F1-Score, and Accuracy across thresholds from 0.20 to 0.75. Accuracy is nearly flat across the range, confirming it does not meaningfully distinguish between threshold choices for this imbalanced problem. Recall decreases as the threshold rises (fewer students flagged = fewer true dropouts caught). Precision increases as the threshold rises (only flag when very confident = fewer false alarms).  The right chart isolates the Recall-Precision trade-off. At the default </w:t>
      </w:r>
      <w:proofErr w:type="spellStart"/>
      <w:r>
        <w:rPr>
          <w:rFonts w:ascii="Arial" w:eastAsia="Arial" w:hAnsi="Arial" w:cs="Arial"/>
          <w:color w:val="333333"/>
          <w:sz w:val="21"/>
          <w:szCs w:val="21"/>
        </w:rPr>
        <w:t>sklearn</w:t>
      </w:r>
      <w:proofErr w:type="spellEnd"/>
      <w:r>
        <w:rPr>
          <w:rFonts w:ascii="Arial" w:eastAsia="Arial" w:hAnsi="Arial" w:cs="Arial"/>
          <w:color w:val="333333"/>
          <w:sz w:val="21"/>
          <w:szCs w:val="21"/>
        </w:rPr>
        <w:t xml:space="preserve"> threshold of 0.50, Recall = 81.7% and Precision = 81.7%. At the recommended deployment threshold of 0.40, Recall rises to 84.2% while Precision drops to 78.1%. For a screening application where the cost of missing a true dropout (lost student, lost tuition, no intervention opportunity) far exceeds the cost of an unnecessary advisor contact, the lower threshold is the correct operational choice. The institution should decide based on its advisor capacity: if resources are constrained, 0.45-0.50 is reasonable; if the institution can handle more outreach contacts, 0.35-0.40 </w:t>
      </w:r>
      <w:proofErr w:type="spellStart"/>
      <w:r>
        <w:rPr>
          <w:rFonts w:ascii="Arial" w:eastAsia="Arial" w:hAnsi="Arial" w:cs="Arial"/>
          <w:color w:val="333333"/>
          <w:sz w:val="21"/>
          <w:szCs w:val="21"/>
        </w:rPr>
        <w:t>maximises</w:t>
      </w:r>
      <w:proofErr w:type="spellEnd"/>
      <w:r>
        <w:rPr>
          <w:rFonts w:ascii="Arial" w:eastAsia="Arial" w:hAnsi="Arial" w:cs="Arial"/>
          <w:color w:val="333333"/>
          <w:sz w:val="21"/>
          <w:szCs w:val="21"/>
        </w:rPr>
        <w:t xml:space="preserve"> recall.</w:t>
      </w:r>
    </w:p>
    <w:p w14:paraId="746C4F17" w14:textId="77777777" w:rsidR="00864B4A" w:rsidRDefault="00000000">
      <w:pPr>
        <w:spacing w:before="100"/>
        <w:jc w:val="center"/>
      </w:pPr>
      <w:r>
        <w:rPr>
          <w:noProof/>
        </w:rPr>
        <w:lastRenderedPageBreak/>
        <w:drawing>
          <wp:inline distT="0" distB="0" distL="0" distR="0" wp14:anchorId="503633A5" wp14:editId="4A682785">
            <wp:extent cx="5143500" cy="2000250"/>
            <wp:effectExtent l="0" t="0" r="0" b="0"/>
            <wp:docPr id="233495436" name="Picture 233495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2000250"/>
                    </a:xfrm>
                    <a:prstGeom prst="rect">
                      <a:avLst/>
                    </a:prstGeom>
                  </pic:spPr>
                </pic:pic>
              </a:graphicData>
            </a:graphic>
          </wp:inline>
        </w:drawing>
      </w:r>
    </w:p>
    <w:p w14:paraId="7A232AE0" w14:textId="77777777" w:rsidR="00864B4A" w:rsidRDefault="00864B4A">
      <w:pPr>
        <w:spacing w:after="80"/>
      </w:pPr>
    </w:p>
    <w:p w14:paraId="3230C797" w14:textId="77777777" w:rsidR="00864B4A" w:rsidRDefault="00000000">
      <w:pPr>
        <w:spacing w:before="60" w:after="60"/>
      </w:pPr>
      <w:r>
        <w:rPr>
          <w:rFonts w:ascii="Arial" w:eastAsia="Arial" w:hAnsi="Arial" w:cs="Arial"/>
          <w:b/>
          <w:bCs/>
          <w:color w:val="1F4E79"/>
          <w:sz w:val="21"/>
          <w:szCs w:val="21"/>
        </w:rPr>
        <w:t>Appendix C</w:t>
      </w:r>
      <w:r>
        <w:rPr>
          <w:rFonts w:ascii="Arial" w:eastAsia="Arial" w:hAnsi="Arial" w:cs="Arial"/>
          <w:sz w:val="21"/>
          <w:szCs w:val="21"/>
        </w:rPr>
        <w:t>: Full Metric Priority Ranking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
        <w:gridCol w:w="2166"/>
        <w:gridCol w:w="6218"/>
      </w:tblGrid>
      <w:tr w:rsidR="00864B4A" w14:paraId="3A974BB1"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465BB35" w14:textId="77777777" w:rsidR="00864B4A" w:rsidRDefault="00000000">
            <w:r>
              <w:rPr>
                <w:rFonts w:ascii="Arial" w:eastAsia="Arial" w:hAnsi="Arial" w:cs="Arial"/>
                <w:b/>
                <w:bCs/>
                <w:color w:val="FFFFFF"/>
                <w:sz w:val="21"/>
                <w:szCs w:val="21"/>
              </w:rPr>
              <w:t>Priority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DCBA172" w14:textId="77777777" w:rsidR="00864B4A" w:rsidRDefault="00000000">
            <w:pPr>
              <w:jc w:val="center"/>
            </w:pPr>
            <w:r>
              <w:rPr>
                <w:rFonts w:ascii="Arial" w:eastAsia="Arial" w:hAnsi="Arial" w:cs="Arial"/>
                <w:b/>
                <w:bCs/>
                <w:color w:val="FFFFFF"/>
                <w:sz w:val="21"/>
                <w:szCs w:val="21"/>
              </w:rPr>
              <w:t>Metric</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27FD46F1" w14:textId="77777777" w:rsidR="00864B4A" w:rsidRDefault="00000000">
            <w:pPr>
              <w:jc w:val="center"/>
            </w:pPr>
            <w:r>
              <w:rPr>
                <w:rFonts w:ascii="Arial" w:eastAsia="Arial" w:hAnsi="Arial" w:cs="Arial"/>
                <w:b/>
                <w:bCs/>
                <w:color w:val="FFFFFF"/>
                <w:sz w:val="21"/>
                <w:szCs w:val="21"/>
              </w:rPr>
              <w:t>Justification for This Problem</w:t>
            </w:r>
          </w:p>
        </w:tc>
      </w:tr>
      <w:tr w:rsidR="00864B4A" w14:paraId="3CB8C1D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593F8B5C" w14:textId="77777777" w:rsidR="00864B4A" w:rsidRDefault="00000000">
            <w:r>
              <w:rPr>
                <w:rFonts w:ascii="Arial" w:eastAsia="Arial" w:hAnsi="Arial" w:cs="Arial"/>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75D21BE4" w14:textId="77777777" w:rsidR="00864B4A" w:rsidRDefault="00000000">
            <w:pPr>
              <w:jc w:val="center"/>
            </w:pPr>
            <w:r>
              <w:rPr>
                <w:rFonts w:ascii="Arial" w:eastAsia="Arial" w:hAnsi="Arial" w:cs="Arial"/>
              </w:rPr>
              <w:t>Recall</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884E102" w14:textId="77777777" w:rsidR="00864B4A" w:rsidRDefault="00000000">
            <w:pPr>
              <w:jc w:val="center"/>
            </w:pPr>
            <w:r>
              <w:rPr>
                <w:rFonts w:ascii="Arial" w:eastAsia="Arial" w:hAnsi="Arial" w:cs="Arial"/>
              </w:rPr>
              <w:t>Fraction of true dropouts correctly flagged. A missed dropout receives no intervention, irreversible.</w:t>
            </w:r>
          </w:p>
        </w:tc>
      </w:tr>
      <w:tr w:rsidR="00864B4A" w14:paraId="42BADB0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6F17D8C" w14:textId="77777777" w:rsidR="00864B4A" w:rsidRDefault="00000000">
            <w:r>
              <w:rPr>
                <w:rFonts w:ascii="Arial" w:eastAsia="Arial" w:hAnsi="Arial" w:cs="Arial"/>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96A23EC" w14:textId="77777777" w:rsidR="00864B4A" w:rsidRDefault="00000000">
            <w:pPr>
              <w:jc w:val="center"/>
            </w:pPr>
            <w:r>
              <w:rPr>
                <w:rFonts w:ascii="Arial" w:eastAsia="Arial" w:hAnsi="Arial" w:cs="Arial"/>
              </w:rPr>
              <w:t>F1-Score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7F0FA31" w14:textId="77777777" w:rsidR="00864B4A" w:rsidRDefault="00000000">
            <w:pPr>
              <w:jc w:val="center"/>
            </w:pPr>
            <w:r>
              <w:rPr>
                <w:rFonts w:ascii="Arial" w:eastAsia="Arial" w:hAnsi="Arial" w:cs="Arial"/>
              </w:rPr>
              <w:t>Harmonic mean of precision and recall. Ensures model is genuinely discriminating, not just over-flagging everyone.</w:t>
            </w:r>
          </w:p>
        </w:tc>
      </w:tr>
      <w:tr w:rsidR="00864B4A" w14:paraId="7771499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5718259" w14:textId="77777777" w:rsidR="00864B4A" w:rsidRDefault="00000000">
            <w:r>
              <w:rPr>
                <w:rFonts w:ascii="Arial" w:eastAsia="Arial" w:hAnsi="Arial" w:cs="Arial"/>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EA24BE7" w14:textId="77777777" w:rsidR="00864B4A" w:rsidRDefault="00000000">
            <w:pPr>
              <w:jc w:val="center"/>
            </w:pPr>
            <w:r>
              <w:rPr>
                <w:rFonts w:ascii="Arial" w:eastAsia="Arial" w:hAnsi="Arial" w:cs="Arial"/>
              </w:rPr>
              <w:t>ROC-AUC</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73469FE7" w14:textId="77777777" w:rsidR="00864B4A" w:rsidRDefault="00000000">
            <w:pPr>
              <w:jc w:val="center"/>
            </w:pPr>
            <w:r>
              <w:rPr>
                <w:rFonts w:ascii="Arial" w:eastAsia="Arial" w:hAnsi="Arial" w:cs="Arial"/>
              </w:rPr>
              <w:t>Threshold-independent ranking quality. Evaluates model across all possible thresholds simultaneously.</w:t>
            </w:r>
          </w:p>
        </w:tc>
      </w:tr>
      <w:tr w:rsidR="00864B4A" w14:paraId="2DA2A23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0211C9E" w14:textId="77777777" w:rsidR="00864B4A" w:rsidRDefault="00000000">
            <w:r>
              <w:rPr>
                <w:rFonts w:ascii="Arial" w:eastAsia="Arial" w:hAnsi="Arial" w:cs="Arial"/>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153AF7E" w14:textId="77777777" w:rsidR="00864B4A" w:rsidRDefault="00000000">
            <w:pPr>
              <w:jc w:val="center"/>
            </w:pPr>
            <w:r>
              <w:rPr>
                <w:rFonts w:ascii="Arial" w:eastAsia="Arial" w:hAnsi="Arial" w:cs="Arial"/>
              </w:rPr>
              <w:t>Precision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280434D" w14:textId="77777777" w:rsidR="00864B4A" w:rsidRDefault="00000000">
            <w:pPr>
              <w:jc w:val="center"/>
            </w:pPr>
            <w:r>
              <w:rPr>
                <w:rFonts w:ascii="Arial" w:eastAsia="Arial" w:hAnsi="Arial" w:cs="Arial"/>
              </w:rPr>
              <w:t>Fraction of flagged students who truly need support. Governs advisor resource efficiency.</w:t>
            </w:r>
          </w:p>
        </w:tc>
      </w:tr>
      <w:tr w:rsidR="00864B4A" w14:paraId="1F44917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5336B9A7" w14:textId="77777777" w:rsidR="00864B4A" w:rsidRDefault="00000000">
            <w:r>
              <w:rPr>
                <w:rFonts w:ascii="Arial" w:eastAsia="Arial" w:hAnsi="Arial" w:cs="Arial"/>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757D1E0C" w14:textId="77777777" w:rsidR="00864B4A" w:rsidRDefault="00000000">
            <w:pPr>
              <w:jc w:val="center"/>
            </w:pPr>
            <w:r>
              <w:rPr>
                <w:rFonts w:ascii="Arial" w:eastAsia="Arial" w:hAnsi="Arial" w:cs="Arial"/>
              </w:rPr>
              <w:t>Accuracy</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5BF69F27" w14:textId="77777777" w:rsidR="00864B4A" w:rsidRDefault="00000000">
            <w:pPr>
              <w:jc w:val="center"/>
            </w:pPr>
            <w:r>
              <w:rPr>
                <w:rFonts w:ascii="Arial" w:eastAsia="Arial" w:hAnsi="Arial" w:cs="Arial"/>
              </w:rPr>
              <w:t>Least informative. 67.9% accuracy is achievable without learning anything, misleading with class imbalance.</w:t>
            </w:r>
          </w:p>
        </w:tc>
      </w:tr>
    </w:tbl>
    <w:p w14:paraId="248DEE42" w14:textId="77777777" w:rsidR="00864B4A" w:rsidRDefault="00864B4A">
      <w:pPr>
        <w:spacing w:after="200"/>
      </w:pPr>
    </w:p>
    <w:p w14:paraId="73FA13E5" w14:textId="77777777" w:rsidR="00864B4A" w:rsidRDefault="00864B4A">
      <w:pPr>
        <w:pBdr>
          <w:top w:val="single" w:sz="2" w:space="4" w:color="CCCCCC"/>
        </w:pBdr>
        <w:spacing w:before="60" w:after="60"/>
      </w:pPr>
    </w:p>
    <w:p w14:paraId="5BDA21B0" w14:textId="77777777" w:rsidR="00864B4A" w:rsidRDefault="00000000">
      <w:pPr>
        <w:spacing w:before="220" w:after="80"/>
      </w:pPr>
      <w:r>
        <w:rPr>
          <w:rFonts w:ascii="Arial" w:eastAsia="Arial" w:hAnsi="Arial" w:cs="Arial"/>
          <w:b/>
          <w:bCs/>
          <w:color w:val="2E75B6"/>
          <w:sz w:val="25"/>
          <w:szCs w:val="25"/>
        </w:rPr>
        <w:t>References</w:t>
      </w:r>
    </w:p>
    <w:p w14:paraId="5A4B538C" w14:textId="77777777" w:rsidR="00864B4A" w:rsidRDefault="00000000">
      <w:pPr>
        <w:spacing w:after="70"/>
      </w:pPr>
      <w:proofErr w:type="spellStart"/>
      <w:r>
        <w:rPr>
          <w:rFonts w:ascii="Arial" w:eastAsia="Arial" w:hAnsi="Arial" w:cs="Arial"/>
          <w:i/>
          <w:iCs/>
        </w:rPr>
        <w:t>Realinho</w:t>
      </w:r>
      <w:proofErr w:type="spellEnd"/>
      <w:r>
        <w:rPr>
          <w:rFonts w:ascii="Arial" w:eastAsia="Arial" w:hAnsi="Arial" w:cs="Arial"/>
          <w:i/>
          <w:iCs/>
        </w:rPr>
        <w:t>, V., Vieira Martins, M., Machado, J., &amp; Baptista, L. (2022). Predicting Student Dropout and Academic Success. Data, 7(11), 146.</w:t>
      </w:r>
    </w:p>
    <w:p w14:paraId="16D1104E" w14:textId="77777777" w:rsidR="00864B4A" w:rsidRDefault="00000000">
      <w:pPr>
        <w:spacing w:after="70"/>
      </w:pPr>
      <w:proofErr w:type="spellStart"/>
      <w:r>
        <w:rPr>
          <w:rFonts w:ascii="Arial" w:eastAsia="Arial" w:hAnsi="Arial" w:cs="Arial"/>
          <w:i/>
          <w:iCs/>
        </w:rPr>
        <w:t>Breiman</w:t>
      </w:r>
      <w:proofErr w:type="spellEnd"/>
      <w:r>
        <w:rPr>
          <w:rFonts w:ascii="Arial" w:eastAsia="Arial" w:hAnsi="Arial" w:cs="Arial"/>
          <w:i/>
          <w:iCs/>
        </w:rPr>
        <w:t>, L. (2001). Random forests. Machine Learning, 45(1), 5-32.</w:t>
      </w:r>
    </w:p>
    <w:p w14:paraId="6D6B5022" w14:textId="77777777" w:rsidR="00864B4A" w:rsidRDefault="00000000">
      <w:pPr>
        <w:spacing w:after="70"/>
      </w:pPr>
      <w:r>
        <w:rPr>
          <w:rFonts w:ascii="Arial" w:eastAsia="Arial" w:hAnsi="Arial" w:cs="Arial"/>
          <w:i/>
          <w:iCs/>
        </w:rPr>
        <w:t>Friedman, J. H. (2001). Greedy function approximation: A gradient boosting machine. Annals of Statistics, 29(5), 1189-1232.</w:t>
      </w:r>
    </w:p>
    <w:p w14:paraId="48EE1359" w14:textId="77777777" w:rsidR="00864B4A" w:rsidRDefault="00000000">
      <w:pPr>
        <w:spacing w:after="70"/>
      </w:pPr>
      <w:r>
        <w:rPr>
          <w:rFonts w:ascii="Arial" w:eastAsia="Arial" w:hAnsi="Arial" w:cs="Arial"/>
          <w:i/>
          <w:iCs/>
        </w:rPr>
        <w:t>Tinto, V. (1975). Dropout from higher education: A theoretical synthesis of recent research. Review of Educational Research, 45(1), 89-125.</w:t>
      </w:r>
    </w:p>
    <w:p w14:paraId="706925DB" w14:textId="77777777" w:rsidR="00864B4A" w:rsidRDefault="00000000">
      <w:pPr>
        <w:spacing w:after="70"/>
      </w:pPr>
      <w:r>
        <w:rPr>
          <w:rFonts w:ascii="Arial" w:eastAsia="Arial" w:hAnsi="Arial" w:cs="Arial"/>
          <w:i/>
          <w:iCs/>
        </w:rPr>
        <w:t>UCI Machine Learning Repository. (2022). Predict Students Dropout and Academic Success. https://archive.ics.uci.edu/dataset/697</w:t>
      </w:r>
    </w:p>
    <w:sectPr w:rsidR="00864B4A">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760399"/>
    <w:multiLevelType w:val="hybridMultilevel"/>
    <w:tmpl w:val="92D8EAE4"/>
    <w:lvl w:ilvl="0" w:tplc="E3DE3BB6">
      <w:start w:val="1"/>
      <w:numFmt w:val="bullet"/>
      <w:lvlText w:val="●"/>
      <w:lvlJc w:val="left"/>
      <w:pPr>
        <w:ind w:left="720" w:hanging="360"/>
      </w:pPr>
    </w:lvl>
    <w:lvl w:ilvl="1" w:tplc="FE3CD502">
      <w:start w:val="1"/>
      <w:numFmt w:val="bullet"/>
      <w:lvlText w:val="○"/>
      <w:lvlJc w:val="left"/>
      <w:pPr>
        <w:ind w:left="1440" w:hanging="360"/>
      </w:pPr>
    </w:lvl>
    <w:lvl w:ilvl="2" w:tplc="2FD43248">
      <w:start w:val="1"/>
      <w:numFmt w:val="bullet"/>
      <w:lvlText w:val="■"/>
      <w:lvlJc w:val="left"/>
      <w:pPr>
        <w:ind w:left="2160" w:hanging="360"/>
      </w:pPr>
    </w:lvl>
    <w:lvl w:ilvl="3" w:tplc="429015A2">
      <w:start w:val="1"/>
      <w:numFmt w:val="bullet"/>
      <w:lvlText w:val="●"/>
      <w:lvlJc w:val="left"/>
      <w:pPr>
        <w:ind w:left="2880" w:hanging="360"/>
      </w:pPr>
    </w:lvl>
    <w:lvl w:ilvl="4" w:tplc="67EE8ECA">
      <w:start w:val="1"/>
      <w:numFmt w:val="bullet"/>
      <w:lvlText w:val="○"/>
      <w:lvlJc w:val="left"/>
      <w:pPr>
        <w:ind w:left="3600" w:hanging="360"/>
      </w:pPr>
    </w:lvl>
    <w:lvl w:ilvl="5" w:tplc="69C63226">
      <w:start w:val="1"/>
      <w:numFmt w:val="bullet"/>
      <w:lvlText w:val="■"/>
      <w:lvlJc w:val="left"/>
      <w:pPr>
        <w:ind w:left="4320" w:hanging="360"/>
      </w:pPr>
    </w:lvl>
    <w:lvl w:ilvl="6" w:tplc="321CDE9E">
      <w:start w:val="1"/>
      <w:numFmt w:val="bullet"/>
      <w:lvlText w:val="●"/>
      <w:lvlJc w:val="left"/>
      <w:pPr>
        <w:ind w:left="5040" w:hanging="360"/>
      </w:pPr>
    </w:lvl>
    <w:lvl w:ilvl="7" w:tplc="F0800742">
      <w:start w:val="1"/>
      <w:numFmt w:val="bullet"/>
      <w:lvlText w:val="●"/>
      <w:lvlJc w:val="left"/>
      <w:pPr>
        <w:ind w:left="5760" w:hanging="360"/>
      </w:pPr>
    </w:lvl>
    <w:lvl w:ilvl="8" w:tplc="B92452F0">
      <w:start w:val="1"/>
      <w:numFmt w:val="bullet"/>
      <w:lvlText w:val="●"/>
      <w:lvlJc w:val="left"/>
      <w:pPr>
        <w:ind w:left="6480" w:hanging="360"/>
      </w:pPr>
    </w:lvl>
  </w:abstractNum>
  <w:abstractNum w:abstractNumId="1" w15:restartNumberingAfterBreak="0">
    <w:nsid w:val="7B1F27A6"/>
    <w:multiLevelType w:val="hybridMultilevel"/>
    <w:tmpl w:val="81EA6FCA"/>
    <w:lvl w:ilvl="0" w:tplc="122A57F8">
      <w:start w:val="1"/>
      <w:numFmt w:val="bullet"/>
      <w:lvlText w:val="•"/>
      <w:lvlJc w:val="left"/>
      <w:pPr>
        <w:ind w:left="720" w:hanging="360"/>
      </w:pPr>
    </w:lvl>
    <w:lvl w:ilvl="1" w:tplc="6226AD00">
      <w:numFmt w:val="decimal"/>
      <w:lvlText w:val=""/>
      <w:lvlJc w:val="left"/>
    </w:lvl>
    <w:lvl w:ilvl="2" w:tplc="5A10714E">
      <w:numFmt w:val="decimal"/>
      <w:lvlText w:val=""/>
      <w:lvlJc w:val="left"/>
    </w:lvl>
    <w:lvl w:ilvl="3" w:tplc="4B0448C6">
      <w:numFmt w:val="decimal"/>
      <w:lvlText w:val=""/>
      <w:lvlJc w:val="left"/>
    </w:lvl>
    <w:lvl w:ilvl="4" w:tplc="4EBE313E">
      <w:numFmt w:val="decimal"/>
      <w:lvlText w:val=""/>
      <w:lvlJc w:val="left"/>
    </w:lvl>
    <w:lvl w:ilvl="5" w:tplc="602857CA">
      <w:numFmt w:val="decimal"/>
      <w:lvlText w:val=""/>
      <w:lvlJc w:val="left"/>
    </w:lvl>
    <w:lvl w:ilvl="6" w:tplc="4000CE2E">
      <w:numFmt w:val="decimal"/>
      <w:lvlText w:val=""/>
      <w:lvlJc w:val="left"/>
    </w:lvl>
    <w:lvl w:ilvl="7" w:tplc="391A1C88">
      <w:numFmt w:val="decimal"/>
      <w:lvlText w:val=""/>
      <w:lvlJc w:val="left"/>
    </w:lvl>
    <w:lvl w:ilvl="8" w:tplc="D820FF7A">
      <w:numFmt w:val="decimal"/>
      <w:lvlText w:val=""/>
      <w:lvlJc w:val="left"/>
    </w:lvl>
  </w:abstractNum>
  <w:num w:numId="1" w16cid:durableId="1151797553">
    <w:abstractNumId w:val="0"/>
    <w:lvlOverride w:ilvl="0">
      <w:startOverride w:val="1"/>
    </w:lvlOverride>
  </w:num>
  <w:num w:numId="2" w16cid:durableId="14293071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B4A"/>
    <w:rsid w:val="0080496E"/>
    <w:rsid w:val="00864B4A"/>
    <w:rsid w:val="00FB5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7A8B6"/>
  <w15:docId w15:val="{F605D06F-2DCD-4014-9A5F-7F35821E1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4338</Words>
  <Characters>24728</Characters>
  <Application>Microsoft Office Word</Application>
  <DocSecurity>0</DocSecurity>
  <Lines>206</Lines>
  <Paragraphs>58</Paragraphs>
  <ScaleCrop>false</ScaleCrop>
  <Company/>
  <LinksUpToDate>false</LinksUpToDate>
  <CharactersWithSpaces>29008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Ankita Lala Choudhury</cp:lastModifiedBy>
  <cp:revision>2</cp:revision>
  <dcterms:created xsi:type="dcterms:W3CDTF">2026-04-20T07:55:00Z</dcterms:created>
  <dcterms:modified xsi:type="dcterms:W3CDTF">2026-04-26T16:59:00Z</dcterms:modified>
</cp:coreProperties>
</file>