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Título provisório</w:t>
      </w:r>
    </w:p>
    <w:p>
      <w:pPr>
        <w:pStyle w:val="Subtitle"/>
        <w:rPr/>
      </w:pPr>
      <w:r>
        <w:rPr/>
        <w:t>TCC 01</w:t>
      </w:r>
    </w:p>
    <w:p>
      <w:pPr>
        <w:pStyle w:val="Author"/>
        <w:rPr/>
      </w:pPr>
      <w:r>
        <w:rPr/>
        <w:t>Alisson Lucas da Costa Santos</w:t>
      </w:r>
    </w:p>
    <w:p>
      <w:pPr>
        <w:pStyle w:val="Normal"/>
        <w:rPr/>
      </w:pPr>
      <w:r>
        <w:rPr/>
      </w:r>
      <w:r>
        <w:br w:type="page"/>
      </w:r>
    </w:p>
    <w:p>
      <w:pPr>
        <w:pStyle w:val="Heading1"/>
        <w:spacing w:before="0" w:after="80"/>
        <w:rPr/>
      </w:pPr>
      <w:bookmarkStart w:id="0" w:name="introdução"/>
      <w:r>
        <w:rPr/>
        <w:t>Introdução</w:t>
      </w:r>
    </w:p>
    <w:p>
      <w:pPr>
        <w:pStyle w:val="FirstParagraph"/>
        <w:jc w:val="both"/>
        <w:rPr/>
      </w:pPr>
      <w:r>
        <w:rPr/>
        <w:t>A gestão prudente do risco de crédito constitui um dos pilares estratégicos de instituições financeiras, cuja rentabilidade e estabilidade dependem da capacidade de estimar com precisão a probabilidade de inadimplência (default) de solicitantes de empréstimos.</w:t>
      </w:r>
    </w:p>
    <w:p>
      <w:pPr>
        <w:pStyle w:val="BodyText"/>
        <w:jc w:val="both"/>
        <w:rPr/>
      </w:pPr>
      <w:r>
        <w:rPr/>
        <w:t>Decisões inadequadas na concessão acarretam perdas financeiras severas e exigem maior provisão para créditos de liquidação duvidosa, ao passo que critérios excessivamente restritivos penalizam o volume de negócios e a competitividade da instituição frente às demais.</w:t>
      </w:r>
    </w:p>
    <w:p>
      <w:pPr>
        <w:pStyle w:val="BodyText"/>
        <w:jc w:val="both"/>
        <w:rPr/>
      </w:pPr>
      <w:r>
        <w:rPr/>
        <w:t>Neste estudo, aborda-se o problema clássico de previsão da inadimplência a partir de um conjunto de dados composto por registros cadastrais, histórico financeiro e características das operações solicitadas por mais de 32 mil tomadores de crédito. A variável de interesse é dicotômica e representa o desfecho financeiro do empréstimo (</w:t>
      </w:r>
      <w:r>
        <w:rPr/>
      </w:r>
      <m:oMath xmlns:m="http://schemas.openxmlformats.org/officeDocument/2006/math">
        <m:r>
          <w:rPr>
            <w:rFonts w:ascii="Cambria Math" w:hAnsi="Cambria Math"/>
          </w:rPr>
          <m:t xml:space="preserve">Y</m:t>
        </m:r>
        <m:r>
          <m:rPr>
            <m:lit/>
            <m:nor/>
          </m:rPr>
          <w:rPr>
            <w:rFonts w:ascii="Cambria Math" w:hAnsi="Cambria Math"/>
          </w:rPr>
          <m:t xml:space="preserve">=</m:t>
        </m:r>
        <m:r>
          <w:rPr>
            <w:rFonts w:ascii="Cambria Math" w:hAnsi="Cambria Math"/>
          </w:rPr>
          <m:t xml:space="preserve">1</m:t>
        </m:r>
      </m:oMath>
      <w:r>
        <w:rPr/>
        <w:t xml:space="preserve"> para ocorrência de inadimplência e </w:t>
      </w:r>
      <w:r>
        <w:rPr/>
      </w:r>
      <m:oMath xmlns:m="http://schemas.openxmlformats.org/officeDocument/2006/math">
        <m:r>
          <w:rPr>
            <w:rFonts w:ascii="Cambria Math" w:hAnsi="Cambria Math"/>
          </w:rPr>
          <m:t xml:space="preserve">Y</m:t>
        </m:r>
        <m:r>
          <m:rPr>
            <m:lit/>
            <m:nor/>
          </m:rPr>
          <w:rPr>
            <w:rFonts w:ascii="Cambria Math" w:hAnsi="Cambria Math"/>
          </w:rPr>
          <m:t xml:space="preserve">=</m:t>
        </m:r>
        <m:r>
          <w:rPr>
            <w:rFonts w:ascii="Cambria Math" w:hAnsi="Cambria Math"/>
          </w:rPr>
          <m:t xml:space="preserve">0</m:t>
        </m:r>
      </m:oMath>
      <w:r>
        <w:rPr/>
        <w:t xml:space="preserve"> para quitação regular), configurando um cenário de classificação supervisionada em carteiras com desbalanceamento moderado entre as classes.</w:t>
      </w:r>
    </w:p>
    <w:p>
      <w:pPr>
        <w:pStyle w:val="BodyText"/>
        <w:jc w:val="both"/>
        <w:rPr/>
      </w:pPr>
      <w:r>
        <w:rPr/>
        <w:t>O objetivo central consiste em construir, avaliar e comparar modelos preditivos probabilísticos de regressão que identifiquem os fatores determinantes do risco de crédito e ofereçam poder discriminatório confiável para apoiar a esteira de concessão.</w:t>
      </w:r>
    </w:p>
    <w:p>
      <w:pPr>
        <w:pStyle w:val="Heading2"/>
        <w:jc w:val="both"/>
        <w:rPr/>
      </w:pPr>
      <w:bookmarkStart w:id="1" w:name="o-conjunto-de-dados"/>
      <w:r>
        <w:rPr/>
        <w:t>O conjunto de dados</w:t>
      </w:r>
    </w:p>
    <w:p>
      <w:pPr>
        <w:pStyle w:val="FirstParagraph"/>
        <w:jc w:val="both"/>
        <w:rPr/>
      </w:pPr>
      <w:r>
        <w:rPr/>
        <w:t xml:space="preserve">Para abordar este problema, utilizaremos o conjunto de dados intitulado </w:t>
      </w:r>
      <w:r>
        <w:rPr>
          <w:b/>
          <w:bCs/>
        </w:rPr>
        <w:t>Credit Risk Dataset</w:t>
      </w:r>
      <w:r>
        <w:rPr/>
        <w:t xml:space="preserve">, disponibilizado na plataforma </w:t>
      </w:r>
      <w:hyperlink r:id="rId2">
        <w:r>
          <w:rPr>
            <w:rStyle w:val="Hyperlink"/>
          </w:rPr>
          <w:t>Kaggle</w:t>
        </w:r>
      </w:hyperlink>
      <w:r>
        <w:rPr/>
        <w:t>.</w:t>
      </w:r>
    </w:p>
    <w:p>
      <w:pPr>
        <w:pStyle w:val="BodyText"/>
        <w:jc w:val="both"/>
        <w:rPr/>
      </w:pPr>
      <w:r>
        <w:rPr/>
        <w:t>Este conjunto de dados contém colunas que simulam dados de órgãos de proteção ao crédito, reunindo informações cadastrais, histórico financeiro e detalhes sobre empréstimos tomados.</w:t>
      </w:r>
    </w:p>
    <w:p>
      <w:pPr>
        <w:pStyle w:val="BodyText"/>
        <w:jc w:val="both"/>
        <w:rPr/>
      </w:pPr>
      <w:r>
        <w:rPr/>
        <w:t>Cada observação representa uma contratação de empréstimo. No total o conjunto é composto por 32581 observações e 12 variáveis que se dividem em três grupos: perfil do tomador, características do empréstimo e informações de risco.</w:t>
      </w:r>
    </w:p>
    <w:p>
      <w:pPr>
        <w:pStyle w:val="Heading3"/>
        <w:jc w:val="both"/>
        <w:rPr/>
      </w:pPr>
      <w:bookmarkStart w:id="2" w:name="perfil-do-tomador"/>
      <w:r>
        <w:rPr/>
        <w:t>Perfil do tomador</w:t>
      </w:r>
    </w:p>
    <w:p>
      <w:pPr>
        <w:pStyle w:val="FirstParagraph"/>
        <w:jc w:val="both"/>
        <w:rPr/>
      </w:pPr>
      <w:r>
        <w:rPr/>
        <w:t>No perfil do tomador, estão reunidas as seguintes variáveis:</w:t>
      </w:r>
    </w:p>
    <w:p>
      <w:pPr>
        <w:pStyle w:val="Compact"/>
        <w:numPr>
          <w:ilvl w:val="0"/>
          <w:numId w:val="1"/>
        </w:numPr>
        <w:jc w:val="both"/>
        <w:rPr/>
      </w:pPr>
      <w:r>
        <w:rPr>
          <w:b/>
          <w:bCs/>
        </w:rPr>
        <w:t>Idade</w:t>
      </w:r>
      <w:r>
        <w:rPr/>
        <w:t xml:space="preserve"> (</w:t>
      </w:r>
      <w:r>
        <w:rPr>
          <w:rStyle w:val="VerbatimChar"/>
        </w:rPr>
        <w:t>person_age</w:t>
      </w:r>
      <w:r>
        <w:rPr/>
        <w:t>): idade em anos.</w:t>
      </w:r>
    </w:p>
    <w:p>
      <w:pPr>
        <w:pStyle w:val="Compact"/>
        <w:numPr>
          <w:ilvl w:val="0"/>
          <w:numId w:val="1"/>
        </w:numPr>
        <w:jc w:val="both"/>
        <w:rPr/>
      </w:pPr>
      <w:r>
        <w:rPr>
          <w:b/>
          <w:bCs/>
        </w:rPr>
        <w:t>Renda anual</w:t>
      </w:r>
      <w:r>
        <w:rPr/>
        <w:t xml:space="preserve"> (</w:t>
      </w:r>
      <w:r>
        <w:rPr>
          <w:rStyle w:val="VerbatimChar"/>
        </w:rPr>
        <w:t>person_income</w:t>
      </w:r>
      <w:r>
        <w:rPr/>
        <w:t>): renda anual declarada (em unidade monetária).</w:t>
      </w:r>
    </w:p>
    <w:p>
      <w:pPr>
        <w:pStyle w:val="Compact"/>
        <w:numPr>
          <w:ilvl w:val="0"/>
          <w:numId w:val="1"/>
        </w:numPr>
        <w:jc w:val="both"/>
        <w:rPr/>
      </w:pPr>
      <w:r>
        <w:rPr>
          <w:b/>
          <w:bCs/>
        </w:rPr>
        <w:t>Tipo de moradia</w:t>
      </w:r>
      <w:r>
        <w:rPr/>
        <w:t xml:space="preserve"> (</w:t>
      </w:r>
      <w:r>
        <w:rPr>
          <w:rStyle w:val="VerbatimChar"/>
        </w:rPr>
        <w:t>person_home_ownership</w:t>
      </w:r>
      <w:r>
        <w:rPr/>
        <w:t>): situação de moradia atual, classificada em:</w:t>
      </w:r>
    </w:p>
    <w:p>
      <w:pPr>
        <w:pStyle w:val="Compact"/>
        <w:numPr>
          <w:ilvl w:val="1"/>
          <w:numId w:val="1"/>
        </w:numPr>
        <w:jc w:val="both"/>
        <w:rPr/>
      </w:pPr>
      <w:r>
        <w:rPr/>
        <w:t>aluguel;</w:t>
      </w:r>
    </w:p>
    <w:p>
      <w:pPr>
        <w:pStyle w:val="Compact"/>
        <w:numPr>
          <w:ilvl w:val="1"/>
          <w:numId w:val="1"/>
        </w:numPr>
        <w:jc w:val="both"/>
        <w:rPr/>
      </w:pPr>
      <w:r>
        <w:rPr/>
        <w:t>própria;</w:t>
      </w:r>
    </w:p>
    <w:p>
      <w:pPr>
        <w:pStyle w:val="Compact"/>
        <w:numPr>
          <w:ilvl w:val="1"/>
          <w:numId w:val="1"/>
        </w:numPr>
        <w:jc w:val="both"/>
        <w:rPr/>
      </w:pPr>
      <w:r>
        <w:rPr/>
        <w:t>financiada;</w:t>
      </w:r>
    </w:p>
    <w:p>
      <w:pPr>
        <w:pStyle w:val="Compact"/>
        <w:numPr>
          <w:ilvl w:val="1"/>
          <w:numId w:val="1"/>
        </w:numPr>
        <w:jc w:val="both"/>
        <w:rPr/>
      </w:pPr>
      <w:r>
        <w:rPr/>
        <w:t>outros.</w:t>
      </w:r>
    </w:p>
    <w:p>
      <w:pPr>
        <w:pStyle w:val="Compact"/>
        <w:numPr>
          <w:ilvl w:val="0"/>
          <w:numId w:val="1"/>
        </w:numPr>
        <w:jc w:val="both"/>
        <w:rPr/>
      </w:pPr>
      <w:r>
        <w:rPr>
          <w:b/>
          <w:bCs/>
        </w:rPr>
        <w:t>Tempo no emprego atual</w:t>
      </w:r>
      <w:r>
        <w:rPr/>
        <w:t xml:space="preserve"> (</w:t>
      </w:r>
      <w:r>
        <w:rPr>
          <w:rStyle w:val="VerbatimChar"/>
        </w:rPr>
        <w:t>person_emp_length</w:t>
      </w:r>
      <w:r>
        <w:rPr/>
        <w:t>): tempo de permanência no emprego atual (em anos).</w:t>
      </w:r>
      <w:bookmarkEnd w:id="2"/>
    </w:p>
    <w:p>
      <w:pPr>
        <w:pStyle w:val="Heading3"/>
        <w:jc w:val="both"/>
        <w:rPr/>
      </w:pPr>
      <w:bookmarkStart w:id="3" w:name="características-do-empréstimo"/>
      <w:r>
        <w:rPr/>
        <w:t>Características do empréstimo</w:t>
      </w:r>
    </w:p>
    <w:p>
      <w:pPr>
        <w:pStyle w:val="FirstParagraph"/>
        <w:jc w:val="both"/>
        <w:rPr/>
      </w:pPr>
      <w:r>
        <w:rPr/>
        <w:t>Em relação às características da operação de crédito, constam as seguintes variáveis:</w:t>
      </w:r>
    </w:p>
    <w:p>
      <w:pPr>
        <w:pStyle w:val="Compact"/>
        <w:numPr>
          <w:ilvl w:val="0"/>
          <w:numId w:val="1"/>
        </w:numPr>
        <w:jc w:val="both"/>
        <w:rPr/>
      </w:pPr>
      <w:r>
        <w:rPr>
          <w:b/>
          <w:bCs/>
        </w:rPr>
        <w:t>Finalidade do empréstimo</w:t>
      </w:r>
      <w:r>
        <w:rPr/>
        <w:t xml:space="preserve"> (</w:t>
      </w:r>
      <w:r>
        <w:rPr>
          <w:rStyle w:val="VerbatimChar"/>
        </w:rPr>
        <w:t>loan_intent</w:t>
      </w:r>
      <w:r>
        <w:rPr/>
        <w:t>): destinação do recurso tomado, classificada em:</w:t>
      </w:r>
    </w:p>
    <w:p>
      <w:pPr>
        <w:pStyle w:val="Compact"/>
        <w:numPr>
          <w:ilvl w:val="1"/>
          <w:numId w:val="1"/>
        </w:numPr>
        <w:jc w:val="both"/>
        <w:rPr/>
      </w:pPr>
      <w:r>
        <w:rPr/>
        <w:t>uso pessoal;</w:t>
      </w:r>
    </w:p>
    <w:p>
      <w:pPr>
        <w:pStyle w:val="Compact"/>
        <w:numPr>
          <w:ilvl w:val="1"/>
          <w:numId w:val="1"/>
        </w:numPr>
        <w:jc w:val="both"/>
        <w:rPr/>
      </w:pPr>
      <w:r>
        <w:rPr/>
        <w:t>educacional;</w:t>
      </w:r>
    </w:p>
    <w:p>
      <w:pPr>
        <w:pStyle w:val="Compact"/>
        <w:numPr>
          <w:ilvl w:val="1"/>
          <w:numId w:val="1"/>
        </w:numPr>
        <w:jc w:val="both"/>
        <w:rPr/>
      </w:pPr>
      <w:r>
        <w:rPr/>
        <w:t>despesas médicas;</w:t>
      </w:r>
    </w:p>
    <w:p>
      <w:pPr>
        <w:pStyle w:val="Compact"/>
        <w:numPr>
          <w:ilvl w:val="1"/>
          <w:numId w:val="1"/>
        </w:numPr>
        <w:jc w:val="both"/>
        <w:rPr/>
      </w:pPr>
      <w:r>
        <w:rPr/>
        <w:t>empreendimento;</w:t>
      </w:r>
    </w:p>
    <w:p>
      <w:pPr>
        <w:pStyle w:val="Compact"/>
        <w:numPr>
          <w:ilvl w:val="1"/>
          <w:numId w:val="1"/>
        </w:numPr>
        <w:jc w:val="both"/>
        <w:rPr/>
      </w:pPr>
      <w:r>
        <w:rPr/>
        <w:t>reforma imobiliária;</w:t>
      </w:r>
    </w:p>
    <w:p>
      <w:pPr>
        <w:pStyle w:val="Compact"/>
        <w:numPr>
          <w:ilvl w:val="1"/>
          <w:numId w:val="1"/>
        </w:numPr>
        <w:jc w:val="both"/>
        <w:rPr/>
      </w:pPr>
      <w:r>
        <w:rPr/>
        <w:t>quitação de dívidas.</w:t>
      </w:r>
    </w:p>
    <w:p>
      <w:pPr>
        <w:pStyle w:val="Compact"/>
        <w:numPr>
          <w:ilvl w:val="0"/>
          <w:numId w:val="1"/>
        </w:numPr>
        <w:jc w:val="both"/>
        <w:rPr/>
      </w:pPr>
      <w:r>
        <w:rPr>
          <w:b/>
          <w:bCs/>
        </w:rPr>
        <w:t>Classificação de risco</w:t>
      </w:r>
      <w:r>
        <w:rPr/>
        <w:t xml:space="preserve"> (</w:t>
      </w:r>
      <w:r>
        <w:rPr>
          <w:rStyle w:val="VerbatimChar"/>
        </w:rPr>
        <w:t>loan_grade</w:t>
      </w:r>
      <w:r>
        <w:rPr/>
        <w:t>): classificação atribuída à operação numa escala ordinal de “A” (menor risco) a “G” (maior risco).</w:t>
      </w:r>
    </w:p>
    <w:p>
      <w:pPr>
        <w:pStyle w:val="Compact"/>
        <w:numPr>
          <w:ilvl w:val="0"/>
          <w:numId w:val="1"/>
        </w:numPr>
        <w:jc w:val="both"/>
        <w:rPr/>
      </w:pPr>
      <w:r>
        <w:rPr>
          <w:b/>
          <w:bCs/>
        </w:rPr>
        <w:t>Valor do empréstimo</w:t>
      </w:r>
      <w:r>
        <w:rPr/>
        <w:t xml:space="preserve"> (</w:t>
      </w:r>
      <w:r>
        <w:rPr>
          <w:rStyle w:val="VerbatimChar"/>
        </w:rPr>
        <w:t>loan_amnt</w:t>
      </w:r>
      <w:r>
        <w:rPr/>
        <w:t>): montante financeiro total contraído.</w:t>
      </w:r>
    </w:p>
    <w:p>
      <w:pPr>
        <w:pStyle w:val="Compact"/>
        <w:numPr>
          <w:ilvl w:val="0"/>
          <w:numId w:val="1"/>
        </w:numPr>
        <w:jc w:val="both"/>
        <w:rPr/>
      </w:pPr>
      <w:r>
        <w:rPr>
          <w:b/>
          <w:bCs/>
        </w:rPr>
        <w:t>Taxa de juros</w:t>
      </w:r>
      <w:r>
        <w:rPr/>
        <w:t xml:space="preserve"> (</w:t>
      </w:r>
      <w:r>
        <w:rPr>
          <w:rStyle w:val="VerbatimChar"/>
        </w:rPr>
        <w:t>loan_int_rate</w:t>
      </w:r>
      <w:r>
        <w:rPr/>
        <w:t>): taxa de juros anual aplicada ao empréstimo.</w:t>
      </w:r>
    </w:p>
    <w:p>
      <w:pPr>
        <w:pStyle w:val="Compact"/>
        <w:numPr>
          <w:ilvl w:val="0"/>
          <w:numId w:val="1"/>
        </w:numPr>
        <w:jc w:val="both"/>
        <w:rPr/>
      </w:pPr>
      <w:r>
        <w:rPr>
          <w:b/>
          <w:bCs/>
        </w:rPr>
        <w:t>Comprometimento da renda</w:t>
      </w:r>
      <w:r>
        <w:rPr/>
        <w:t xml:space="preserve"> (</w:t>
      </w:r>
      <w:r>
        <w:rPr>
          <w:rStyle w:val="VerbatimChar"/>
        </w:rPr>
        <w:t>loan_percent_income</w:t>
      </w:r>
      <w:r>
        <w:rPr/>
        <w:t>): proporção entre o valor do empréstimo e a renda anual do tomador de crédito.</w:t>
      </w:r>
      <w:bookmarkEnd w:id="3"/>
    </w:p>
    <w:p>
      <w:pPr>
        <w:pStyle w:val="Heading3"/>
        <w:jc w:val="both"/>
        <w:rPr/>
      </w:pPr>
      <w:bookmarkStart w:id="4" w:name="informações-de-risco"/>
      <w:r>
        <w:rPr/>
        <w:t>Informações de risco</w:t>
      </w:r>
    </w:p>
    <w:p>
      <w:pPr>
        <w:pStyle w:val="FirstParagraph"/>
        <w:jc w:val="both"/>
        <w:rPr/>
      </w:pPr>
      <w:r>
        <w:rPr/>
        <w:t>Por fim, as seguintes variáveis associadas ao histórico de crédito estão disponíveis:</w:t>
      </w:r>
    </w:p>
    <w:p>
      <w:pPr>
        <w:pStyle w:val="Compact"/>
        <w:numPr>
          <w:ilvl w:val="0"/>
          <w:numId w:val="1"/>
        </w:numPr>
        <w:jc w:val="both"/>
        <w:rPr/>
      </w:pPr>
      <w:r>
        <w:rPr>
          <w:b/>
          <w:bCs/>
        </w:rPr>
        <w:t>Inadimplência anterior</w:t>
      </w:r>
      <w:r>
        <w:rPr/>
        <w:t xml:space="preserve"> (</w:t>
      </w:r>
      <w:r>
        <w:rPr>
          <w:rStyle w:val="VerbatimChar"/>
        </w:rPr>
        <w:t>cb_person_default_on_file</w:t>
      </w:r>
      <w:r>
        <w:rPr/>
        <w:t>): presença de registro de inadimplência prévia em birôs de crédito (“Sim” ou “Não”).</w:t>
      </w:r>
    </w:p>
    <w:p>
      <w:pPr>
        <w:pStyle w:val="Compact"/>
        <w:numPr>
          <w:ilvl w:val="0"/>
          <w:numId w:val="1"/>
        </w:numPr>
        <w:jc w:val="both"/>
        <w:rPr/>
      </w:pPr>
      <w:r>
        <w:rPr>
          <w:b/>
          <w:bCs/>
        </w:rPr>
        <w:t>Histórico de crédito</w:t>
      </w:r>
      <w:r>
        <w:rPr/>
        <w:t xml:space="preserve"> (</w:t>
      </w:r>
      <w:r>
        <w:rPr>
          <w:rStyle w:val="VerbatimChar"/>
        </w:rPr>
        <w:t>cb_person_cred_hist_length</w:t>
      </w:r>
      <w:r>
        <w:rPr/>
        <w:t>): tempo decorrido do primeiro registro de crédito em birôs (em anos).</w:t>
      </w:r>
    </w:p>
    <w:p>
      <w:pPr>
        <w:pStyle w:val="Compact"/>
        <w:numPr>
          <w:ilvl w:val="0"/>
          <w:numId w:val="1"/>
        </w:numPr>
        <w:jc w:val="both"/>
        <w:rPr/>
      </w:pPr>
      <w:r>
        <w:rPr>
          <w:b/>
          <w:bCs/>
        </w:rPr>
        <w:t>Situação do empréstimo</w:t>
      </w:r>
      <w:r>
        <w:rPr/>
        <w:t xml:space="preserve"> (</w:t>
      </w:r>
      <w:r>
        <w:rPr>
          <w:rStyle w:val="VerbatimChar"/>
        </w:rPr>
        <w:t>loan_status</w:t>
      </w:r>
      <w:r>
        <w:rPr/>
        <w:t>): variável de interesse (resposta), que indica o desfecho do pagamento do empréstimo (</w:t>
      </w:r>
      <w:r>
        <w:rPr/>
      </w:r>
      <m:oMath xmlns:m="http://schemas.openxmlformats.org/officeDocument/2006/math">
        <m:r>
          <w:rPr>
            <w:rFonts w:ascii="Cambria Math" w:hAnsi="Cambria Math"/>
          </w:rPr>
          <m:t xml:space="preserve">0</m:t>
        </m:r>
      </m:oMath>
      <w:r>
        <w:rPr/>
        <w:t xml:space="preserve"> para adimplente/quitado e </w:t>
      </w:r>
      <w:r>
        <w:rPr/>
      </w:r>
      <m:oMath xmlns:m="http://schemas.openxmlformats.org/officeDocument/2006/math">
        <m:r>
          <w:rPr>
            <w:rFonts w:ascii="Cambria Math" w:hAnsi="Cambria Math"/>
          </w:rPr>
          <m:t xml:space="preserve">1</m:t>
        </m:r>
      </m:oMath>
      <w:r>
        <w:rPr/>
        <w:t xml:space="preserve"> para inadimplente/</w:t>
      </w:r>
      <w:r>
        <w:rPr>
          <w:i/>
          <w:iCs/>
        </w:rPr>
        <w:t>default</w:t>
      </w:r>
      <w:r>
        <w:rPr/>
        <w:t>).</w:t>
      </w:r>
      <w:bookmarkEnd w:id="0"/>
      <w:bookmarkEnd w:id="1"/>
      <w:bookmarkEnd w:id="4"/>
    </w:p>
    <w:p>
      <w:pPr>
        <w:pStyle w:val="Heading1"/>
        <w:jc w:val="both"/>
        <w:rPr/>
      </w:pPr>
      <w:r>
        <w:rPr/>
        <w:t>Análise exploratória</w:t>
      </w:r>
    </w:p>
    <w:p>
      <w:pPr>
        <w:pStyle w:val="Heading2"/>
        <w:jc w:val="both"/>
        <w:rPr/>
      </w:pPr>
      <w:r>
        <w:rPr/>
        <w:t>Limpeza preliminar dos dados</w:t>
      </w:r>
    </w:p>
    <w:p>
      <w:pPr>
        <w:pStyle w:val="FirstParagraph"/>
        <w:jc w:val="both"/>
        <w:rPr/>
      </w:pPr>
      <w:r>
        <w:rPr/>
        <w:t>Iniciaremos a nossa análise descritiva dos dados de risco de crédito fazendo uma limpeza preliminar no conjunto das variáveis quantitativas. Vamos começar conferindo uma tabela com diversas medidas descritivas das variáveis quantitativas para que possamos rapidamente identificar possíveis inconsistências na base de dados.</w:t>
      </w:r>
    </w:p>
    <w:tbl>
      <w:tblPr>
        <w:tblW w:w="5000" w:type="pct"/>
        <w:jc w:val="left"/>
        <w:tblInd w:w="108" w:type="dxa"/>
        <w:tblLayout w:type="fixed"/>
        <w:tblCellMar>
          <w:top w:w="0" w:type="dxa"/>
          <w:left w:w="108" w:type="dxa"/>
          <w:bottom w:w="0" w:type="dxa"/>
          <w:right w:w="108" w:type="dxa"/>
        </w:tblCellMar>
      </w:tblPr>
      <w:tblGrid>
        <w:gridCol w:w="9360"/>
      </w:tblGrid>
      <w:tr>
        <w:trPr/>
        <w:tc>
          <w:tcPr>
            <w:tcW w:w="9360" w:type="dxa"/>
            <w:tcBorders/>
          </w:tcPr>
          <w:p>
            <w:pPr>
              <w:pStyle w:val="ImageCaption"/>
              <w:spacing w:before="200" w:after="120"/>
              <w:jc w:val="both"/>
              <w:rPr/>
            </w:pPr>
            <w:r>
              <w:rPr/>
              <w:t>Tabela 1: Medidas descritivas</w:t>
            </w:r>
          </w:p>
        </w:tc>
      </w:tr>
    </w:tbl>
    <w:tbl>
      <w:tblPr>
        <w:tblW w:w="5000" w:type="pct"/>
        <w:jc w:val="center"/>
        <w:tblInd w:w="0" w:type="dxa"/>
        <w:tblLayout w:type="fixed"/>
        <w:tblCellMar>
          <w:top w:w="0" w:type="dxa"/>
          <w:left w:w="60" w:type="dxa"/>
          <w:bottom w:w="0" w:type="dxa"/>
          <w:right w:w="60" w:type="dxa"/>
        </w:tblCellMar>
        <w:tblLook w:noHBand="0" w:noVBand="0" w:firstColumn="0" w:lastRow="0" w:lastColumn="0" w:firstRow="0" w:val="0000"/>
      </w:tblPr>
      <w:tblGrid>
        <w:gridCol w:w="1169"/>
        <w:gridCol w:w="1170"/>
        <w:gridCol w:w="1170"/>
        <w:gridCol w:w="1170"/>
        <w:gridCol w:w="1170"/>
        <w:gridCol w:w="1170"/>
        <w:gridCol w:w="1170"/>
        <w:gridCol w:w="1171"/>
      </w:tblGrid>
      <w:tr>
        <w:trPr>
          <w:tblHeader w:val="true"/>
          <w:cantSplit/>
        </w:trPr>
        <w:tc>
          <w:tcPr>
            <w:tcW w:w="1169" w:type="dxa"/>
            <w:tcBorders>
              <w:top w:val="single" w:sz="16" w:space="0" w:color="D3D3D3"/>
              <w:left w:val="single" w:sz="6" w:space="0" w:color="D3D3D3"/>
              <w:bottom w:val="single" w:sz="16" w:space="0" w:color="D3D3D3"/>
              <w:right w:val="single" w:sz="6" w:space="0" w:color="D3D3D3"/>
            </w:tcBorders>
          </w:tcPr>
          <w:p>
            <w:pPr>
              <w:pStyle w:val="Normal"/>
              <w:keepNext w:val="true"/>
              <w:spacing w:before="0" w:after="60"/>
              <w:jc w:val="both"/>
              <w:rPr/>
            </w:pPr>
            <w:r>
              <w:rPr>
                <w:rFonts w:ascii="Calibri" w:hAnsi="Calibri"/>
                <w:sz w:val="20"/>
              </w:rPr>
              <w:t>Variável</w:t>
            </w:r>
          </w:p>
        </w:tc>
        <w:tc>
          <w:tcPr>
            <w:tcW w:w="1170" w:type="dxa"/>
            <w:tcBorders>
              <w:top w:val="single" w:sz="16" w:space="0" w:color="D3D3D3"/>
              <w:left w:val="single" w:sz="6" w:space="0" w:color="D3D3D3"/>
              <w:bottom w:val="single" w:sz="16" w:space="0" w:color="D3D3D3"/>
            </w:tcBorders>
          </w:tcPr>
          <w:p>
            <w:pPr>
              <w:pStyle w:val="Normal"/>
              <w:keepNext w:val="true"/>
              <w:spacing w:before="0" w:after="60"/>
              <w:jc w:val="both"/>
              <w:rPr/>
            </w:pPr>
            <w:r>
              <w:rPr>
                <w:rFonts w:ascii="Calibri" w:hAnsi="Calibri"/>
                <w:sz w:val="20"/>
              </w:rPr>
              <w:t>Média</w:t>
            </w:r>
          </w:p>
        </w:tc>
        <w:tc>
          <w:tcPr>
            <w:tcW w:w="1170" w:type="dxa"/>
            <w:tcBorders>
              <w:top w:val="single" w:sz="16" w:space="0" w:color="D3D3D3"/>
              <w:bottom w:val="single" w:sz="16" w:space="0" w:color="D3D3D3"/>
            </w:tcBorders>
          </w:tcPr>
          <w:p>
            <w:pPr>
              <w:pStyle w:val="Normal"/>
              <w:keepNext w:val="true"/>
              <w:spacing w:before="0" w:after="60"/>
              <w:jc w:val="both"/>
              <w:rPr/>
            </w:pPr>
            <w:r>
              <w:rPr>
                <w:rFonts w:ascii="Calibri" w:hAnsi="Calibri"/>
                <w:sz w:val="20"/>
              </w:rPr>
              <w:t>Desvio padrão</w:t>
            </w:r>
          </w:p>
        </w:tc>
        <w:tc>
          <w:tcPr>
            <w:tcW w:w="1170" w:type="dxa"/>
            <w:tcBorders>
              <w:top w:val="single" w:sz="16" w:space="0" w:color="D3D3D3"/>
              <w:bottom w:val="single" w:sz="16" w:space="0" w:color="D3D3D3"/>
            </w:tcBorders>
          </w:tcPr>
          <w:p>
            <w:pPr>
              <w:pStyle w:val="Normal"/>
              <w:keepNext w:val="true"/>
              <w:spacing w:before="0" w:after="60"/>
              <w:jc w:val="both"/>
              <w:rPr/>
            </w:pPr>
            <w:r>
              <w:rPr>
                <w:rFonts w:ascii="Calibri" w:hAnsi="Calibri"/>
                <w:sz w:val="20"/>
              </w:rPr>
              <w:t>Mínimo</w:t>
            </w:r>
          </w:p>
        </w:tc>
        <w:tc>
          <w:tcPr>
            <w:tcW w:w="1170" w:type="dxa"/>
            <w:tcBorders>
              <w:top w:val="single" w:sz="16" w:space="0" w:color="D3D3D3"/>
              <w:bottom w:val="single" w:sz="16" w:space="0" w:color="D3D3D3"/>
            </w:tcBorders>
          </w:tcPr>
          <w:p>
            <w:pPr>
              <w:pStyle w:val="Normal"/>
              <w:keepNext w:val="true"/>
              <w:spacing w:before="0" w:after="60"/>
              <w:jc w:val="both"/>
              <w:rPr/>
            </w:pPr>
            <w:r>
              <w:rPr>
                <w:rFonts w:ascii="Calibri" w:hAnsi="Calibri"/>
                <w:sz w:val="20"/>
              </w:rPr>
              <w:t>$q_1$</w:t>
            </w:r>
          </w:p>
        </w:tc>
        <w:tc>
          <w:tcPr>
            <w:tcW w:w="1170" w:type="dxa"/>
            <w:tcBorders>
              <w:top w:val="single" w:sz="16" w:space="0" w:color="D3D3D3"/>
              <w:bottom w:val="single" w:sz="16" w:space="0" w:color="D3D3D3"/>
            </w:tcBorders>
          </w:tcPr>
          <w:p>
            <w:pPr>
              <w:pStyle w:val="Normal"/>
              <w:keepNext w:val="true"/>
              <w:spacing w:before="0" w:after="60"/>
              <w:jc w:val="both"/>
              <w:rPr/>
            </w:pPr>
            <w:r>
              <w:rPr>
                <w:rFonts w:ascii="Calibri" w:hAnsi="Calibri"/>
                <w:sz w:val="20"/>
              </w:rPr>
              <w:t>Mediana</w:t>
            </w:r>
          </w:p>
        </w:tc>
        <w:tc>
          <w:tcPr>
            <w:tcW w:w="1170" w:type="dxa"/>
            <w:tcBorders>
              <w:top w:val="single" w:sz="16" w:space="0" w:color="D3D3D3"/>
              <w:bottom w:val="single" w:sz="16" w:space="0" w:color="D3D3D3"/>
            </w:tcBorders>
          </w:tcPr>
          <w:p>
            <w:pPr>
              <w:pStyle w:val="Normal"/>
              <w:keepNext w:val="true"/>
              <w:spacing w:before="0" w:after="60"/>
              <w:jc w:val="both"/>
              <w:rPr/>
            </w:pPr>
            <w:r>
              <w:rPr>
                <w:rFonts w:ascii="Calibri" w:hAnsi="Calibri"/>
                <w:sz w:val="20"/>
              </w:rPr>
              <w:t>$q_3$</w:t>
            </w:r>
          </w:p>
        </w:tc>
        <w:tc>
          <w:tcPr>
            <w:tcW w:w="1171" w:type="dxa"/>
            <w:tcBorders>
              <w:top w:val="single" w:sz="16" w:space="0" w:color="D3D3D3"/>
              <w:bottom w:val="single" w:sz="16" w:space="0" w:color="D3D3D3"/>
              <w:right w:val="single" w:sz="6" w:space="0" w:color="D3D3D3"/>
            </w:tcBorders>
          </w:tcPr>
          <w:p>
            <w:pPr>
              <w:pStyle w:val="Normal"/>
              <w:keepNext w:val="true"/>
              <w:spacing w:before="0" w:after="60"/>
              <w:jc w:val="both"/>
              <w:rPr/>
            </w:pPr>
            <w:r>
              <w:rPr>
                <w:rFonts w:ascii="Calibri" w:hAnsi="Calibri"/>
                <w:sz w:val="20"/>
              </w:rPr>
              <w:t>Máximo</w:t>
            </w:r>
          </w:p>
        </w:tc>
      </w:tr>
      <w:tr>
        <w:trPr>
          <w:cantSplit/>
        </w:trPr>
        <w:tc>
          <w:tcPr>
            <w:tcW w:w="1169"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Histórico de crédito (anos)</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5.80</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4.06</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2.00</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3.00</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4.00</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8.00</w:t>
            </w:r>
          </w:p>
        </w:tc>
        <w:tc>
          <w:tcPr>
            <w:tcW w:w="1171"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30.00</w:t>
            </w:r>
          </w:p>
        </w:tc>
      </w:tr>
      <w:tr>
        <w:trPr>
          <w:cantSplit/>
        </w:trPr>
        <w:tc>
          <w:tcPr>
            <w:tcW w:w="1169"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Valor do empréstimo</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9589.37</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6322.09</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500.00</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5000.00</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8000.00</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12200.00</w:t>
            </w:r>
          </w:p>
        </w:tc>
        <w:tc>
          <w:tcPr>
            <w:tcW w:w="1171"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35000.00</w:t>
            </w:r>
          </w:p>
        </w:tc>
      </w:tr>
      <w:tr>
        <w:trPr>
          <w:cantSplit/>
        </w:trPr>
        <w:tc>
          <w:tcPr>
            <w:tcW w:w="1169"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Taxa de juros</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11.01</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3.24</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5.42</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7.90</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10.99</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13.47</w:t>
            </w:r>
          </w:p>
        </w:tc>
        <w:tc>
          <w:tcPr>
            <w:tcW w:w="1171"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23.22</w:t>
            </w:r>
          </w:p>
        </w:tc>
      </w:tr>
      <w:tr>
        <w:trPr>
          <w:cantSplit/>
        </w:trPr>
        <w:tc>
          <w:tcPr>
            <w:tcW w:w="1169"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Comprometimento da renda</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0.17</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0.11</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0.00</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0.09</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0.15</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0.23</w:t>
            </w:r>
          </w:p>
        </w:tc>
        <w:tc>
          <w:tcPr>
            <w:tcW w:w="1171"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0.83</w:t>
            </w:r>
          </w:p>
        </w:tc>
      </w:tr>
      <w:tr>
        <w:trPr>
          <w:cantSplit/>
        </w:trPr>
        <w:tc>
          <w:tcPr>
            <w:tcW w:w="1169"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Idade</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27.73</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6.35</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20.00</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23.00</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26.00</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30.00</w:t>
            </w:r>
          </w:p>
        </w:tc>
        <w:tc>
          <w:tcPr>
            <w:tcW w:w="1171"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144.00</w:t>
            </w:r>
          </w:p>
        </w:tc>
      </w:tr>
      <w:tr>
        <w:trPr>
          <w:cantSplit/>
        </w:trPr>
        <w:tc>
          <w:tcPr>
            <w:tcW w:w="1169"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Tempo no emprego atual</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4.79</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4.14</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0.00</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2.00</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4.00</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7.00</w:t>
            </w:r>
          </w:p>
        </w:tc>
        <w:tc>
          <w:tcPr>
            <w:tcW w:w="1171"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123.00</w:t>
            </w:r>
          </w:p>
        </w:tc>
      </w:tr>
      <w:tr>
        <w:trPr>
          <w:cantSplit/>
        </w:trPr>
        <w:tc>
          <w:tcPr>
            <w:tcW w:w="1169"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Renda anual</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66074.85</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61983.12</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4000.00</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38500.00</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55000.00</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79200.00</w:t>
            </w:r>
          </w:p>
        </w:tc>
        <w:tc>
          <w:tcPr>
            <w:tcW w:w="1171"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6000000.00</w:t>
            </w:r>
          </w:p>
        </w:tc>
      </w:tr>
      <w:tr>
        <w:trPr>
          <w:cantSplit/>
        </w:trPr>
        <w:tc>
          <w:tcPr>
            <w:tcW w:w="9360" w:type="dxa"/>
            <w:gridSpan w:val="8"/>
            <w:tcBorders/>
          </w:tcPr>
          <w:p>
            <w:pPr>
              <w:pStyle w:val="Normal"/>
              <w:keepNext w:val="true"/>
              <w:spacing w:before="0" w:after="60"/>
              <w:jc w:val="both"/>
              <w:rPr/>
            </w:pPr>
            <w:r>
              <w:rPr>
                <w:rFonts w:ascii="Calibri" w:hAnsi="Calibri"/>
                <w:b/>
                <w:sz w:val="20"/>
              </w:rPr>
              <w:t>Fonte</w:t>
            </w:r>
            <w:r>
              <w:rPr>
                <w:rFonts w:ascii="Calibri" w:hAnsi="Calibri"/>
                <w:sz w:val="20"/>
              </w:rPr>
              <w:t>: base de dados.</w:t>
            </w:r>
            <w:bookmarkStart w:id="5" w:name="tbl-desc-analysis-summary-preview"/>
            <w:bookmarkEnd w:id="5"/>
          </w:p>
        </w:tc>
      </w:tr>
    </w:tbl>
    <w:p>
      <w:pPr>
        <w:pStyle w:val="BodyText"/>
        <w:jc w:val="both"/>
        <w:rPr/>
      </w:pPr>
      <w:r>
        <w:rPr/>
        <w:t>Inspecionando brevemente as medidas, não há dados negativos, porém detecta-se problemas lógicos em duas variáveis: idade do tomador e tempo no emprego atual. O máximo dessas variáveis revela outliers situados a uma distância consideravelmente alta do 3º quartil de suas respectivas distribuições, que torna o dado implausível quando confrontado com a natureza lógica da variável. Por exemplo, é biologicamente impossível que uma pessoa tenha mais de 140 anos ou tenha permanecido no mesmo emprego por 123 anos.</w:t>
      </w:r>
    </w:p>
    <w:p>
      <w:pPr>
        <w:pStyle w:val="BodyText"/>
        <w:jc w:val="both"/>
        <w:rPr/>
      </w:pPr>
      <w:r>
        <w:rPr/>
        <w:t>Alguns desses pontos discrepantes podem representar erros cadastrais e de mensuração ou, alternativamente, valores atípicos extremos legítimos, a exemplo da expressiva renda anual máxima observada de 6000000. É fundamental distinguir quais observações possuem dados inválidos que justifiquem sua exclusão daquelas observações verídicas que apenas refletem a variabilidade natural da população, evitando a eliminação arbitrária de dados válidos.</w:t>
      </w:r>
    </w:p>
    <w:p>
      <w:pPr>
        <w:pStyle w:val="BodyText"/>
        <w:jc w:val="both"/>
        <w:rPr/>
      </w:pPr>
      <w:r>
        <w:rPr/>
        <w:t xml:space="preserve">Começaremos então pela váriavel idade. A </w:t>
      </w:r>
      <w:hyperlink w:anchor="fig-boxplot-age-preview">
        <w:r>
          <w:rPr>
            <w:rStyle w:val="Hyperlink"/>
          </w:rPr>
          <w:t>Figura 1</w:t>
        </w:r>
      </w:hyperlink>
      <w:r>
        <w:rPr/>
        <w:t xml:space="preserve"> apresenta a distribuição da variável por meio de um box plot.</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widowControl/>
              <w:spacing w:before="36" w:after="36"/>
              <w:jc w:val="both"/>
              <w:rPr>
                <w:rFonts w:ascii="Aptos" w:hAnsi="Aptos" w:eastAsia="Aptos" w:cs=""/>
                <w:kern w:val="0"/>
                <w:sz w:val="24"/>
                <w:szCs w:val="24"/>
                <w:lang w:val="pt-BR" w:eastAsia="en-US" w:bidi="ar-SA"/>
              </w:rPr>
            </w:pPr>
            <w:bookmarkStart w:id="6" w:name="fig-boxplot-age-preview"/>
            <w:r>
              <w:rPr>
                <w:rFonts w:eastAsia="Aptos" w:cs=""/>
                <w:kern w:val="0"/>
                <w:sz w:val="24"/>
                <w:szCs w:val="24"/>
                <w:lang w:val="pt-BR" w:eastAsia="en-US" w:bidi="ar-SA"/>
              </w:rPr>
              <w:drawing>
                <wp:inline distT="0" distB="0" distL="0" distR="0">
                  <wp:extent cx="4620260" cy="369633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3"/>
                          <a:stretch>
                            <a:fillRect/>
                          </a:stretch>
                        </pic:blipFill>
                        <pic:spPr bwMode="auto">
                          <a:xfrm>
                            <a:off x="0" y="0"/>
                            <a:ext cx="4620260" cy="3696335"/>
                          </a:xfrm>
                          <a:prstGeom prst="rect">
                            <a:avLst/>
                          </a:prstGeom>
                          <a:noFill/>
                        </pic:spPr>
                      </pic:pic>
                    </a:graphicData>
                  </a:graphic>
                </wp:inline>
              </w:drawing>
            </w:r>
          </w:p>
          <w:p>
            <w:pPr>
              <w:pStyle w:val="ImageCaption"/>
              <w:widowControl/>
              <w:spacing w:before="200" w:after="120"/>
              <w:jc w:val="both"/>
              <w:rPr>
                <w:rFonts w:ascii="Aptos" w:hAnsi="Aptos" w:eastAsia="Aptos" w:cs=""/>
                <w:kern w:val="0"/>
                <w:sz w:val="24"/>
                <w:szCs w:val="24"/>
                <w:lang w:val="pt-BR" w:eastAsia="en-US" w:bidi="ar-SA"/>
              </w:rPr>
            </w:pPr>
            <w:r>
              <w:rPr>
                <w:rFonts w:eastAsia="Aptos" w:cs=""/>
                <w:kern w:val="0"/>
                <w:sz w:val="24"/>
                <w:szCs w:val="24"/>
                <w:lang w:val="pt-BR" w:eastAsia="en-US" w:bidi="ar-SA"/>
              </w:rPr>
              <w:t>Figura 1: Distribuição das idades dos tomadores de crédito (prévia)</w:t>
            </w:r>
            <w:bookmarkEnd w:id="6"/>
          </w:p>
        </w:tc>
      </w:tr>
    </w:tbl>
    <w:p>
      <w:pPr>
        <w:pStyle w:val="BodyText"/>
        <w:jc w:val="both"/>
        <w:rPr/>
      </w:pPr>
      <w:r>
        <w:rPr/>
        <w:t>As instituições financeiras operam prioritariamente com a faixa de 18 a 80 anos para concessão de crédito. O teto de 80 anos fundamenta-se nas práticas do mercado financeiro, no qual concessões acima dessa idade envolvem regras operacionais e limites estritos de elegibilidade securitária. Portanto, este critério será adotado neste trabalho. Como suporte adicional a essa decisão, identificou-se que apenas 7 observações estão acima desse patamar (incluindo idades biologicamente inválidas), o que representa 0.02% da amostra. Trata-se de uma perda amostral marginal que não compromete a representatividade dos dados e preserva a qualidade do ajuste dos modelos preditivos. Além de que, alguns destes outliers estão acima de 100 anos, o que muito provavelmente trata-se de erro de preenchimento ou até fraude financeira, enfatizando ainda mais a motivação de remoção destas observações.</w:t>
      </w:r>
    </w:p>
    <w:p>
      <w:pPr>
        <w:pStyle w:val="BodyText"/>
        <w:jc w:val="both"/>
        <w:rPr/>
      </w:pPr>
      <w:r>
        <w:rPr/>
        <w:t xml:space="preserve">De forma similar, a distribuição da variável de tempo no emprego atual é apresentada na </w:t>
      </w:r>
      <w:hyperlink w:anchor="fig-boxplot-person-emp-length-preview">
        <w:r>
          <w:rPr>
            <w:rStyle w:val="Hyperlink"/>
          </w:rPr>
          <w:t>Figura 2</w:t>
        </w:r>
      </w:hyperlink>
      <w:r>
        <w:rPr/>
        <w:t>.</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widowControl/>
              <w:spacing w:before="36" w:after="36"/>
              <w:jc w:val="both"/>
              <w:rPr>
                <w:rFonts w:ascii="Aptos" w:hAnsi="Aptos" w:eastAsia="Aptos" w:cs=""/>
                <w:kern w:val="0"/>
                <w:sz w:val="24"/>
                <w:szCs w:val="24"/>
                <w:lang w:val="pt-BR" w:eastAsia="en-US" w:bidi="ar-SA"/>
              </w:rPr>
            </w:pPr>
            <w:bookmarkStart w:id="7" w:name="fig-boxplot-person-emp-length-preview"/>
            <w:r>
              <w:rPr>
                <w:rFonts w:eastAsia="Aptos" w:cs=""/>
                <w:kern w:val="0"/>
                <w:sz w:val="24"/>
                <w:szCs w:val="24"/>
                <w:lang w:val="pt-BR" w:eastAsia="en-US" w:bidi="ar-SA"/>
              </w:rPr>
              <w:drawing>
                <wp:inline distT="0" distB="0" distL="0" distR="0">
                  <wp:extent cx="4620260" cy="369633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4620260" cy="3696335"/>
                          </a:xfrm>
                          <a:prstGeom prst="rect">
                            <a:avLst/>
                          </a:prstGeom>
                          <a:noFill/>
                        </pic:spPr>
                      </pic:pic>
                    </a:graphicData>
                  </a:graphic>
                </wp:inline>
              </w:drawing>
            </w:r>
          </w:p>
          <w:p>
            <w:pPr>
              <w:pStyle w:val="ImageCaption"/>
              <w:widowControl/>
              <w:spacing w:before="200" w:after="120"/>
              <w:jc w:val="both"/>
              <w:rPr>
                <w:rFonts w:ascii="Aptos" w:hAnsi="Aptos" w:eastAsia="Aptos" w:cs=""/>
                <w:kern w:val="0"/>
                <w:sz w:val="24"/>
                <w:szCs w:val="24"/>
                <w:lang w:val="pt-BR" w:eastAsia="en-US" w:bidi="ar-SA"/>
              </w:rPr>
            </w:pPr>
            <w:r>
              <w:rPr>
                <w:rFonts w:eastAsia="Aptos" w:cs=""/>
                <w:kern w:val="0"/>
                <w:sz w:val="24"/>
                <w:szCs w:val="24"/>
                <w:lang w:val="pt-BR" w:eastAsia="en-US" w:bidi="ar-SA"/>
              </w:rPr>
              <w:t>Figura 2: Distribuição dos tempos no emprego dos tomadores de crédito (prévia)</w:t>
            </w:r>
            <w:bookmarkEnd w:id="7"/>
          </w:p>
        </w:tc>
      </w:tr>
    </w:tbl>
    <w:p>
      <w:pPr>
        <w:pStyle w:val="BodyText"/>
        <w:jc w:val="both"/>
        <w:rPr/>
      </w:pPr>
      <w:r>
        <w:rPr/>
        <w:t>Mais uma vez, destacamos o teto de 80 anos na figura. Aqui podemos observar que os maiores tempos de serviço plausíveis vão até 45 anos. Existem 2 observações de tempo no emprego atual acima de 120 anos. Estas duas observações representam 0.01% da amostra e serão, pelo mesmo motivo discutido para a idade, removidas da base.</w:t>
      </w:r>
    </w:p>
    <w:p>
      <w:pPr>
        <w:pStyle w:val="BodyText"/>
        <w:jc w:val="both"/>
        <w:rPr/>
      </w:pPr>
      <w:r>
        <w:rPr/>
        <w:t>Ainda no âmbito das inconsistências das idades, verificou-se que não havia observações em que a idade era inferior ao tempo no emprego atual e tampouco era inferior ao histórico de crédito. Por fim, foi calculada a razão entre o valor do empréstimo e a renda anual do tomador e obteve-se a diferença absoluta com os valores correspondentes da variável do comprometimento da renda. A maior diferença observada foi de 0.0933824, possivelmente causado por erros de arredondamento. Por conveniência, optou-se por continuar utilizando a variável de comprometimento de renda original.</w:t>
      </w:r>
    </w:p>
    <w:p>
      <w:pPr>
        <w:pStyle w:val="BodyText"/>
        <w:jc w:val="both"/>
        <w:rPr/>
      </w:pPr>
      <w:r>
        <w:rPr/>
        <w:t xml:space="preserve">Após a constação das inconsistências e a remoção das 9 observações apuradas, elaborou-se uma versão atualizada de medidas descritivas para todas as variáveis quantitativas que é apresentada na </w:t>
      </w:r>
      <w:hyperlink w:anchor="tbl-desc-analysis-summary">
        <w:r>
          <w:rPr>
            <w:rStyle w:val="Hyperlink"/>
          </w:rPr>
          <w:t>Tabela 2</w:t>
        </w:r>
      </w:hyperlink>
      <w:r>
        <w:rPr/>
        <w:t>.</w:t>
      </w:r>
    </w:p>
    <w:tbl>
      <w:tblPr>
        <w:tblW w:w="5000" w:type="pct"/>
        <w:jc w:val="left"/>
        <w:tblInd w:w="108" w:type="dxa"/>
        <w:tblLayout w:type="fixed"/>
        <w:tblCellMar>
          <w:top w:w="0" w:type="dxa"/>
          <w:left w:w="108" w:type="dxa"/>
          <w:bottom w:w="0" w:type="dxa"/>
          <w:right w:w="108" w:type="dxa"/>
        </w:tblCellMar>
      </w:tblPr>
      <w:tblGrid>
        <w:gridCol w:w="9360"/>
      </w:tblGrid>
      <w:tr>
        <w:trPr/>
        <w:tc>
          <w:tcPr>
            <w:tcW w:w="9360" w:type="dxa"/>
            <w:tcBorders/>
          </w:tcPr>
          <w:p>
            <w:pPr>
              <w:pStyle w:val="ImageCaption"/>
              <w:spacing w:before="200" w:after="120"/>
              <w:jc w:val="both"/>
              <w:rPr/>
            </w:pPr>
            <w:r>
              <w:rPr/>
              <w:t>Tabela 2: Medidas descritivas</w:t>
            </w:r>
            <w:bookmarkStart w:id="8" w:name="limpeza-preliminar-dos-dados"/>
            <w:bookmarkEnd w:id="8"/>
          </w:p>
        </w:tc>
      </w:tr>
    </w:tbl>
    <w:tbl>
      <w:tblPr>
        <w:tblW w:w="5000" w:type="pct"/>
        <w:jc w:val="center"/>
        <w:tblInd w:w="0" w:type="dxa"/>
        <w:tblLayout w:type="fixed"/>
        <w:tblCellMar>
          <w:top w:w="0" w:type="dxa"/>
          <w:left w:w="60" w:type="dxa"/>
          <w:bottom w:w="0" w:type="dxa"/>
          <w:right w:w="60" w:type="dxa"/>
        </w:tblCellMar>
        <w:tblLook w:noHBand="0" w:noVBand="0" w:firstColumn="0" w:lastRow="0" w:lastColumn="0" w:firstRow="0" w:val="0000"/>
      </w:tblPr>
      <w:tblGrid>
        <w:gridCol w:w="1169"/>
        <w:gridCol w:w="1170"/>
        <w:gridCol w:w="1170"/>
        <w:gridCol w:w="1170"/>
        <w:gridCol w:w="1170"/>
        <w:gridCol w:w="1170"/>
        <w:gridCol w:w="1170"/>
        <w:gridCol w:w="1171"/>
      </w:tblGrid>
      <w:tr>
        <w:trPr>
          <w:tblHeader w:val="true"/>
          <w:cantSplit/>
        </w:trPr>
        <w:tc>
          <w:tcPr>
            <w:tcW w:w="1169" w:type="dxa"/>
            <w:tcBorders>
              <w:top w:val="single" w:sz="16" w:space="0" w:color="D3D3D3"/>
              <w:left w:val="single" w:sz="6" w:space="0" w:color="D3D3D3"/>
              <w:bottom w:val="single" w:sz="16" w:space="0" w:color="D3D3D3"/>
              <w:right w:val="single" w:sz="6" w:space="0" w:color="D3D3D3"/>
            </w:tcBorders>
          </w:tcPr>
          <w:p>
            <w:pPr>
              <w:pStyle w:val="Normal"/>
              <w:keepNext w:val="true"/>
              <w:spacing w:before="0" w:after="60"/>
              <w:jc w:val="both"/>
              <w:rPr/>
            </w:pPr>
            <w:r>
              <w:rPr>
                <w:rFonts w:ascii="Calibri" w:hAnsi="Calibri"/>
                <w:sz w:val="20"/>
              </w:rPr>
              <w:t>Variável</w:t>
            </w:r>
          </w:p>
        </w:tc>
        <w:tc>
          <w:tcPr>
            <w:tcW w:w="1170" w:type="dxa"/>
            <w:tcBorders>
              <w:top w:val="single" w:sz="16" w:space="0" w:color="D3D3D3"/>
              <w:left w:val="single" w:sz="6" w:space="0" w:color="D3D3D3"/>
              <w:bottom w:val="single" w:sz="16" w:space="0" w:color="D3D3D3"/>
            </w:tcBorders>
          </w:tcPr>
          <w:p>
            <w:pPr>
              <w:pStyle w:val="Normal"/>
              <w:keepNext w:val="true"/>
              <w:spacing w:before="0" w:after="60"/>
              <w:jc w:val="both"/>
              <w:rPr/>
            </w:pPr>
            <w:r>
              <w:rPr>
                <w:rFonts w:ascii="Calibri" w:hAnsi="Calibri"/>
                <w:sz w:val="20"/>
              </w:rPr>
              <w:t>Média</w:t>
            </w:r>
          </w:p>
        </w:tc>
        <w:tc>
          <w:tcPr>
            <w:tcW w:w="1170" w:type="dxa"/>
            <w:tcBorders>
              <w:top w:val="single" w:sz="16" w:space="0" w:color="D3D3D3"/>
              <w:bottom w:val="single" w:sz="16" w:space="0" w:color="D3D3D3"/>
            </w:tcBorders>
          </w:tcPr>
          <w:p>
            <w:pPr>
              <w:pStyle w:val="Normal"/>
              <w:keepNext w:val="true"/>
              <w:spacing w:before="0" w:after="60"/>
              <w:jc w:val="both"/>
              <w:rPr/>
            </w:pPr>
            <w:r>
              <w:rPr>
                <w:rFonts w:ascii="Calibri" w:hAnsi="Calibri"/>
                <w:sz w:val="20"/>
              </w:rPr>
              <w:t>Desvio padrão</w:t>
            </w:r>
          </w:p>
        </w:tc>
        <w:tc>
          <w:tcPr>
            <w:tcW w:w="1170" w:type="dxa"/>
            <w:tcBorders>
              <w:top w:val="single" w:sz="16" w:space="0" w:color="D3D3D3"/>
              <w:bottom w:val="single" w:sz="16" w:space="0" w:color="D3D3D3"/>
            </w:tcBorders>
          </w:tcPr>
          <w:p>
            <w:pPr>
              <w:pStyle w:val="Normal"/>
              <w:keepNext w:val="true"/>
              <w:spacing w:before="0" w:after="60"/>
              <w:jc w:val="both"/>
              <w:rPr/>
            </w:pPr>
            <w:r>
              <w:rPr>
                <w:rFonts w:ascii="Calibri" w:hAnsi="Calibri"/>
                <w:sz w:val="20"/>
              </w:rPr>
              <w:t>Mínimo</w:t>
            </w:r>
          </w:p>
        </w:tc>
        <w:tc>
          <w:tcPr>
            <w:tcW w:w="1170" w:type="dxa"/>
            <w:tcBorders>
              <w:top w:val="single" w:sz="16" w:space="0" w:color="D3D3D3"/>
              <w:bottom w:val="single" w:sz="16" w:space="0" w:color="D3D3D3"/>
            </w:tcBorders>
          </w:tcPr>
          <w:p>
            <w:pPr>
              <w:pStyle w:val="Normal"/>
              <w:keepNext w:val="true"/>
              <w:spacing w:before="0" w:after="60"/>
              <w:jc w:val="both"/>
              <w:rPr/>
            </w:pPr>
            <w:r>
              <w:rPr>
                <w:rFonts w:ascii="Calibri" w:hAnsi="Calibri"/>
                <w:sz w:val="20"/>
              </w:rPr>
              <w:t>$q_1$</w:t>
            </w:r>
          </w:p>
        </w:tc>
        <w:tc>
          <w:tcPr>
            <w:tcW w:w="1170" w:type="dxa"/>
            <w:tcBorders>
              <w:top w:val="single" w:sz="16" w:space="0" w:color="D3D3D3"/>
              <w:bottom w:val="single" w:sz="16" w:space="0" w:color="D3D3D3"/>
            </w:tcBorders>
          </w:tcPr>
          <w:p>
            <w:pPr>
              <w:pStyle w:val="Normal"/>
              <w:keepNext w:val="true"/>
              <w:spacing w:before="0" w:after="60"/>
              <w:jc w:val="both"/>
              <w:rPr/>
            </w:pPr>
            <w:r>
              <w:rPr>
                <w:rFonts w:ascii="Calibri" w:hAnsi="Calibri"/>
                <w:sz w:val="20"/>
              </w:rPr>
              <w:t>Mediana</w:t>
            </w:r>
          </w:p>
        </w:tc>
        <w:tc>
          <w:tcPr>
            <w:tcW w:w="1170" w:type="dxa"/>
            <w:tcBorders>
              <w:top w:val="single" w:sz="16" w:space="0" w:color="D3D3D3"/>
              <w:bottom w:val="single" w:sz="16" w:space="0" w:color="D3D3D3"/>
            </w:tcBorders>
          </w:tcPr>
          <w:p>
            <w:pPr>
              <w:pStyle w:val="Normal"/>
              <w:keepNext w:val="true"/>
              <w:spacing w:before="0" w:after="60"/>
              <w:jc w:val="both"/>
              <w:rPr/>
            </w:pPr>
            <w:r>
              <w:rPr>
                <w:rFonts w:ascii="Calibri" w:hAnsi="Calibri"/>
                <w:sz w:val="20"/>
              </w:rPr>
              <w:t>$q_3$</w:t>
            </w:r>
          </w:p>
        </w:tc>
        <w:tc>
          <w:tcPr>
            <w:tcW w:w="1171" w:type="dxa"/>
            <w:tcBorders>
              <w:top w:val="single" w:sz="16" w:space="0" w:color="D3D3D3"/>
              <w:bottom w:val="single" w:sz="16" w:space="0" w:color="D3D3D3"/>
              <w:right w:val="single" w:sz="6" w:space="0" w:color="D3D3D3"/>
            </w:tcBorders>
          </w:tcPr>
          <w:p>
            <w:pPr>
              <w:pStyle w:val="Normal"/>
              <w:keepNext w:val="true"/>
              <w:spacing w:before="0" w:after="60"/>
              <w:jc w:val="both"/>
              <w:rPr/>
            </w:pPr>
            <w:r>
              <w:rPr>
                <w:rFonts w:ascii="Calibri" w:hAnsi="Calibri"/>
                <w:sz w:val="20"/>
              </w:rPr>
              <w:t>Máximo</w:t>
            </w:r>
          </w:p>
        </w:tc>
      </w:tr>
      <w:tr>
        <w:trPr>
          <w:cantSplit/>
        </w:trPr>
        <w:tc>
          <w:tcPr>
            <w:tcW w:w="1169"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Histórico de crédito (anos)</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5.80</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4.05</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2.00</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3.00</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4.00</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8.00</w:t>
            </w:r>
          </w:p>
        </w:tc>
        <w:tc>
          <w:tcPr>
            <w:tcW w:w="1171"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30.00</w:t>
            </w:r>
          </w:p>
        </w:tc>
      </w:tr>
      <w:tr>
        <w:trPr>
          <w:cantSplit/>
        </w:trPr>
        <w:tc>
          <w:tcPr>
            <w:tcW w:w="1169"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Valor do empréstimo</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9588.10</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6320.42</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500.00</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5000.00</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8000.00</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12200.00</w:t>
            </w:r>
          </w:p>
        </w:tc>
        <w:tc>
          <w:tcPr>
            <w:tcW w:w="1171"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35000.00</w:t>
            </w:r>
          </w:p>
        </w:tc>
      </w:tr>
      <w:tr>
        <w:trPr>
          <w:cantSplit/>
        </w:trPr>
        <w:tc>
          <w:tcPr>
            <w:tcW w:w="1169"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Taxa de juros</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11.01</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3.24</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5.42</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7.90</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10.99</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13.47</w:t>
            </w:r>
          </w:p>
        </w:tc>
        <w:tc>
          <w:tcPr>
            <w:tcW w:w="1171"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23.22</w:t>
            </w:r>
          </w:p>
        </w:tc>
      </w:tr>
      <w:tr>
        <w:trPr>
          <w:cantSplit/>
        </w:trPr>
        <w:tc>
          <w:tcPr>
            <w:tcW w:w="1169"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Comprometimento da renda</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0.17</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0.11</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0.00</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0.09</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0.15</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0.23</w:t>
            </w:r>
          </w:p>
        </w:tc>
        <w:tc>
          <w:tcPr>
            <w:tcW w:w="1171"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0.83</w:t>
            </w:r>
          </w:p>
        </w:tc>
      </w:tr>
      <w:tr>
        <w:trPr>
          <w:cantSplit/>
        </w:trPr>
        <w:tc>
          <w:tcPr>
            <w:tcW w:w="1169"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Idade</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27.71</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6.19</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20.00</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23.00</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26.00</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30.00</w:t>
            </w:r>
          </w:p>
        </w:tc>
        <w:tc>
          <w:tcPr>
            <w:tcW w:w="1171"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80.00</w:t>
            </w:r>
          </w:p>
        </w:tc>
      </w:tr>
      <w:tr>
        <w:trPr>
          <w:cantSplit/>
        </w:trPr>
        <w:tc>
          <w:tcPr>
            <w:tcW w:w="1169"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Tempo no emprego atual</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4.78</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4.03</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0.00</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2.00</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4.00</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7.00</w:t>
            </w:r>
          </w:p>
        </w:tc>
        <w:tc>
          <w:tcPr>
            <w:tcW w:w="1171"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41.00</w:t>
            </w:r>
          </w:p>
        </w:tc>
      </w:tr>
      <w:tr>
        <w:trPr>
          <w:cantSplit/>
        </w:trPr>
        <w:tc>
          <w:tcPr>
            <w:tcW w:w="1169"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Renda anual</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65878.88</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52532.79</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4000.00</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38500.00</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55000.00</w:t>
            </w:r>
          </w:p>
        </w:tc>
        <w:tc>
          <w:tcPr>
            <w:tcW w:w="117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79200.00</w:t>
            </w:r>
          </w:p>
        </w:tc>
        <w:tc>
          <w:tcPr>
            <w:tcW w:w="1171"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2039784.00</w:t>
            </w:r>
          </w:p>
        </w:tc>
      </w:tr>
      <w:tr>
        <w:trPr>
          <w:cantSplit/>
        </w:trPr>
        <w:tc>
          <w:tcPr>
            <w:tcW w:w="9360" w:type="dxa"/>
            <w:gridSpan w:val="8"/>
            <w:tcBorders/>
          </w:tcPr>
          <w:p>
            <w:pPr>
              <w:pStyle w:val="Normal"/>
              <w:keepNext w:val="true"/>
              <w:spacing w:before="0" w:after="60"/>
              <w:jc w:val="both"/>
              <w:rPr/>
            </w:pPr>
            <w:r>
              <w:rPr>
                <w:rFonts w:ascii="Calibri" w:hAnsi="Calibri"/>
                <w:b/>
                <w:sz w:val="20"/>
              </w:rPr>
              <w:t>Fonte</w:t>
            </w:r>
            <w:r>
              <w:rPr>
                <w:rFonts w:ascii="Calibri" w:hAnsi="Calibri"/>
                <w:sz w:val="20"/>
              </w:rPr>
              <w:t>: base de dados.</w:t>
            </w:r>
            <w:bookmarkStart w:id="9" w:name="tbl-desc-analysis-summary"/>
            <w:bookmarkEnd w:id="9"/>
          </w:p>
        </w:tc>
      </w:tr>
    </w:tbl>
    <w:p>
      <w:pPr>
        <w:pStyle w:val="Heading2"/>
        <w:jc w:val="both"/>
        <w:rPr/>
      </w:pPr>
      <w:r>
        <w:rPr/>
        <w:t>Análise individual</w:t>
      </w:r>
    </w:p>
    <w:p>
      <w:pPr>
        <w:pStyle w:val="FirstParagraph"/>
        <w:jc w:val="both"/>
        <w:rPr/>
      </w:pPr>
      <w:r>
        <w:rPr/>
        <w:t>Iremos agora nos restringir a uma análise individual de cada variável quantitativa, em termos de distribuição geral, presença de pontos extremos e distribuição condicionada ao status da variável de interesse. Em seguida, iremos tratar das variáveis qualitativas.</w:t>
      </w:r>
    </w:p>
    <w:p>
      <w:pPr>
        <w:pStyle w:val="BodyText"/>
        <w:jc w:val="both"/>
        <w:rPr/>
      </w:pPr>
      <w:r>
        <w:rPr/>
        <w:t>Após esta etapa, prosseguiremos com uma análise conjunta das variáveis e finalizaremos nossa exploração com um estudo de valores faltantes na base de dados.</w:t>
      </w:r>
    </w:p>
    <w:p>
      <w:pPr>
        <w:pStyle w:val="Heading3"/>
        <w:jc w:val="both"/>
        <w:rPr/>
      </w:pPr>
      <w:r>
        <w:rPr/>
        <w:t>Idade</w:t>
      </w:r>
    </w:p>
    <w:p>
      <w:pPr>
        <w:pStyle w:val="FirstParagraph"/>
        <w:jc w:val="both"/>
        <w:rPr/>
      </w:pPr>
      <w:r>
        <w:rPr/>
        <w:t xml:space="preserve">A </w:t>
      </w:r>
      <w:hyperlink w:anchor="fig-boxplot-age">
        <w:r>
          <w:rPr>
            <w:rStyle w:val="Hyperlink"/>
          </w:rPr>
          <w:t>Figura 3</w:t>
        </w:r>
      </w:hyperlink>
      <w:r>
        <w:rPr/>
        <w:t xml:space="preserve"> mostra que a parte central das distribuições da idade dos tomadores de crédito entre os grupos de adimplentes e inadimplentes é muito similar. Ambos os grupos possuem outliers concentrados na parte superior da distribuição. Isto pode ser um indicativo de que a idade por si só não é tão informativa para saber se o tomador vai ou não quitar a dívida.</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widowControl/>
              <w:spacing w:before="36" w:after="36"/>
              <w:jc w:val="both"/>
              <w:rPr>
                <w:rFonts w:ascii="Aptos" w:hAnsi="Aptos" w:eastAsia="Aptos" w:cs=""/>
                <w:kern w:val="0"/>
                <w:sz w:val="24"/>
                <w:szCs w:val="24"/>
                <w:lang w:val="pt-BR" w:eastAsia="en-US" w:bidi="ar-SA"/>
              </w:rPr>
            </w:pPr>
            <w:bookmarkStart w:id="10" w:name="fig-boxplot-age"/>
            <w:r>
              <w:rPr>
                <w:rFonts w:eastAsia="Aptos" w:cs=""/>
                <w:kern w:val="0"/>
                <w:sz w:val="24"/>
                <w:szCs w:val="24"/>
                <w:lang w:val="pt-BR" w:eastAsia="en-US" w:bidi="ar-SA"/>
              </w:rPr>
              <w:drawing>
                <wp:inline distT="0" distB="0" distL="0" distR="0">
                  <wp:extent cx="4620260" cy="369633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5"/>
                          <a:stretch>
                            <a:fillRect/>
                          </a:stretch>
                        </pic:blipFill>
                        <pic:spPr bwMode="auto">
                          <a:xfrm>
                            <a:off x="0" y="0"/>
                            <a:ext cx="4620260" cy="3696335"/>
                          </a:xfrm>
                          <a:prstGeom prst="rect">
                            <a:avLst/>
                          </a:prstGeom>
                          <a:noFill/>
                        </pic:spPr>
                      </pic:pic>
                    </a:graphicData>
                  </a:graphic>
                </wp:inline>
              </w:drawing>
            </w:r>
          </w:p>
          <w:p>
            <w:pPr>
              <w:pStyle w:val="ImageCaption"/>
              <w:widowControl/>
              <w:spacing w:before="200" w:after="120"/>
              <w:jc w:val="both"/>
              <w:rPr>
                <w:rFonts w:ascii="Aptos" w:hAnsi="Aptos" w:eastAsia="Aptos" w:cs=""/>
                <w:kern w:val="0"/>
                <w:sz w:val="24"/>
                <w:szCs w:val="24"/>
                <w:lang w:val="pt-BR" w:eastAsia="en-US" w:bidi="ar-SA"/>
              </w:rPr>
            </w:pPr>
            <w:r>
              <w:rPr>
                <w:rFonts w:eastAsia="Aptos" w:cs=""/>
                <w:kern w:val="0"/>
                <w:sz w:val="24"/>
                <w:szCs w:val="24"/>
                <w:lang w:val="pt-BR" w:eastAsia="en-US" w:bidi="ar-SA"/>
              </w:rPr>
              <w:t>Figura 3: Distribuição das idades por situação de empréstimo</w:t>
            </w:r>
            <w:bookmarkEnd w:id="10"/>
          </w:p>
        </w:tc>
      </w:tr>
    </w:tbl>
    <w:p>
      <w:pPr>
        <w:pStyle w:val="BodyText"/>
        <w:jc w:val="both"/>
        <w:rPr/>
      </w:pPr>
      <w:r>
        <w:rPr/>
        <w:t xml:space="preserve">Podemos observar pela </w:t>
      </w:r>
      <w:hyperlink w:anchor="tbl-desc-analysis-summary">
        <w:r>
          <w:rPr>
            <w:rStyle w:val="Hyperlink"/>
          </w:rPr>
          <w:t>Tabela 2</w:t>
        </w:r>
      </w:hyperlink>
      <w:r>
        <w:rPr/>
        <w:t xml:space="preserve"> que 75% dos tomadores têm idade de até 30 anos. Isso indica que a maioria dos tomadores de crédito nos dados são pessoas jovens.</w:t>
      </w:r>
    </w:p>
    <w:p>
      <w:pPr>
        <w:pStyle w:val="BodyText"/>
        <w:jc w:val="both"/>
        <w:rPr/>
      </w:pPr>
      <w:r>
        <w:rPr/>
        <w:t xml:space="preserve">Ao avaliar o histograma da </w:t>
      </w:r>
      <w:hyperlink w:anchor="fig-hist-person-age">
        <w:r>
          <w:rPr>
            <w:rStyle w:val="Hyperlink"/>
          </w:rPr>
          <w:t>Figura 4</w:t>
        </w:r>
      </w:hyperlink>
      <w:r>
        <w:rPr/>
        <w:t xml:space="preserve"> podemos notar que se trata de uma distribuição assimétrica à direita, em que a maioria dos empréstimos estão concentrados entre as classes de 20 e 40 anos, confirmando o que foi observado no parágrafo anterior.</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widowControl/>
              <w:spacing w:before="36" w:after="36"/>
              <w:jc w:val="both"/>
              <w:rPr>
                <w:rFonts w:ascii="Aptos" w:hAnsi="Aptos" w:eastAsia="Aptos" w:cs=""/>
                <w:kern w:val="0"/>
                <w:sz w:val="24"/>
                <w:szCs w:val="24"/>
                <w:lang w:val="pt-BR" w:eastAsia="en-US" w:bidi="ar-SA"/>
              </w:rPr>
            </w:pPr>
            <w:bookmarkStart w:id="11" w:name="fig-hist-person-age"/>
            <w:r>
              <w:rPr>
                <w:rFonts w:eastAsia="Aptos" w:cs=""/>
                <w:kern w:val="0"/>
                <w:sz w:val="24"/>
                <w:szCs w:val="24"/>
                <w:lang w:val="pt-BR" w:eastAsia="en-US" w:bidi="ar-SA"/>
              </w:rPr>
              <w:drawing>
                <wp:inline distT="0" distB="0" distL="0" distR="0">
                  <wp:extent cx="4620260" cy="369633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6"/>
                          <a:stretch>
                            <a:fillRect/>
                          </a:stretch>
                        </pic:blipFill>
                        <pic:spPr bwMode="auto">
                          <a:xfrm>
                            <a:off x="0" y="0"/>
                            <a:ext cx="4620260" cy="3696335"/>
                          </a:xfrm>
                          <a:prstGeom prst="rect">
                            <a:avLst/>
                          </a:prstGeom>
                          <a:noFill/>
                        </pic:spPr>
                      </pic:pic>
                    </a:graphicData>
                  </a:graphic>
                </wp:inline>
              </w:drawing>
            </w:r>
          </w:p>
          <w:p>
            <w:pPr>
              <w:pStyle w:val="ImageCaption"/>
              <w:widowControl/>
              <w:spacing w:before="200" w:after="120"/>
              <w:jc w:val="both"/>
              <w:rPr>
                <w:rFonts w:ascii="Aptos" w:hAnsi="Aptos" w:eastAsia="Aptos" w:cs=""/>
                <w:kern w:val="0"/>
                <w:sz w:val="24"/>
                <w:szCs w:val="24"/>
                <w:lang w:val="pt-BR" w:eastAsia="en-US" w:bidi="ar-SA"/>
              </w:rPr>
            </w:pPr>
            <w:r>
              <w:rPr>
                <w:rFonts w:eastAsia="Aptos" w:cs=""/>
                <w:kern w:val="0"/>
                <w:sz w:val="24"/>
                <w:szCs w:val="24"/>
                <w:lang w:val="pt-BR" w:eastAsia="en-US" w:bidi="ar-SA"/>
              </w:rPr>
              <w:t>Figura 4: Distribuição das idades</w:t>
            </w:r>
            <w:bookmarkStart w:id="12" w:name="idade"/>
            <w:bookmarkEnd w:id="11"/>
            <w:bookmarkEnd w:id="12"/>
          </w:p>
        </w:tc>
      </w:tr>
    </w:tbl>
    <w:p>
      <w:pPr>
        <w:pStyle w:val="Heading3"/>
        <w:jc w:val="both"/>
        <w:rPr/>
      </w:pPr>
      <w:r>
        <w:rPr/>
        <w:t>Renda anual</w:t>
      </w:r>
    </w:p>
    <w:p>
      <w:pPr>
        <w:pStyle w:val="FirstParagraph"/>
        <w:jc w:val="both"/>
        <w:rPr/>
      </w:pPr>
      <w:r>
        <w:rPr/>
        <w:t xml:space="preserve">Segundo a </w:t>
      </w:r>
      <w:hyperlink w:anchor="tbl-desc-analysis-summary">
        <w:r>
          <w:rPr>
            <w:rStyle w:val="Hyperlink"/>
          </w:rPr>
          <w:t>Tabela 2</w:t>
        </w:r>
      </w:hyperlink>
      <w:r>
        <w:rPr/>
        <w:t>, a renda dos tomadores é a variável com maior variabilidade, com desvio padrão de cerca de 52533.</w:t>
      </w:r>
    </w:p>
    <w:p>
      <w:pPr>
        <w:pStyle w:val="BodyText"/>
        <w:jc w:val="both"/>
        <w:rPr/>
      </w:pPr>
      <w:r>
        <w:rPr/>
        <w:t xml:space="preserve">A renda anual apresenta acentuada assimetria positiva, caracterizada por uma cauda longa e distante da mediana, evidenciada pela expressiva concentração de outliers na porção superior da </w:t>
      </w:r>
      <w:hyperlink w:anchor="fig-boxplot-person-income">
        <w:r>
          <w:rPr>
            <w:rStyle w:val="Hyperlink"/>
          </w:rPr>
          <w:t>Figura 5</w:t>
        </w:r>
      </w:hyperlink>
      <w:r>
        <w:rPr/>
        <w:t>. O coeficiente de curtose de 228 atesta o padrão fortemente leptocúrtico da distribuição, confirmando o peso excessivo da cauda em relação a uma distribuição normal.</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widowControl/>
              <w:spacing w:before="36" w:after="36"/>
              <w:jc w:val="both"/>
              <w:rPr>
                <w:rFonts w:ascii="Aptos" w:hAnsi="Aptos" w:eastAsia="Aptos" w:cs=""/>
                <w:kern w:val="0"/>
                <w:sz w:val="24"/>
                <w:szCs w:val="24"/>
                <w:lang w:val="pt-BR" w:eastAsia="en-US" w:bidi="ar-SA"/>
              </w:rPr>
            </w:pPr>
            <w:bookmarkStart w:id="13" w:name="fig-boxplot-person-income"/>
            <w:r>
              <w:rPr>
                <w:rFonts w:eastAsia="Aptos" w:cs=""/>
                <w:kern w:val="0"/>
                <w:sz w:val="24"/>
                <w:szCs w:val="24"/>
                <w:lang w:val="pt-BR" w:eastAsia="en-US" w:bidi="ar-SA"/>
              </w:rPr>
              <w:drawing>
                <wp:inline distT="0" distB="0" distL="0" distR="0">
                  <wp:extent cx="4620260" cy="369633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7"/>
                          <a:stretch>
                            <a:fillRect/>
                          </a:stretch>
                        </pic:blipFill>
                        <pic:spPr bwMode="auto">
                          <a:xfrm>
                            <a:off x="0" y="0"/>
                            <a:ext cx="4620260" cy="3696335"/>
                          </a:xfrm>
                          <a:prstGeom prst="rect">
                            <a:avLst/>
                          </a:prstGeom>
                          <a:noFill/>
                        </pic:spPr>
                      </pic:pic>
                    </a:graphicData>
                  </a:graphic>
                </wp:inline>
              </w:drawing>
            </w:r>
          </w:p>
          <w:p>
            <w:pPr>
              <w:pStyle w:val="ImageCaption"/>
              <w:widowControl/>
              <w:spacing w:before="200" w:after="120"/>
              <w:jc w:val="both"/>
              <w:rPr>
                <w:rFonts w:ascii="Aptos" w:hAnsi="Aptos" w:eastAsia="Aptos" w:cs=""/>
                <w:kern w:val="0"/>
                <w:sz w:val="24"/>
                <w:szCs w:val="24"/>
                <w:lang w:val="pt-BR" w:eastAsia="en-US" w:bidi="ar-SA"/>
              </w:rPr>
            </w:pPr>
            <w:r>
              <w:rPr>
                <w:rFonts w:eastAsia="Aptos" w:cs=""/>
                <w:kern w:val="0"/>
                <w:sz w:val="24"/>
                <w:szCs w:val="24"/>
                <w:lang w:val="pt-BR" w:eastAsia="en-US" w:bidi="ar-SA"/>
              </w:rPr>
              <w:t>Figura 5: Distribuição da renda anual por situação de empréstimo</w:t>
            </w:r>
            <w:bookmarkEnd w:id="13"/>
          </w:p>
        </w:tc>
      </w:tr>
    </w:tbl>
    <w:p>
      <w:pPr>
        <w:pStyle w:val="BodyText"/>
        <w:jc w:val="both"/>
        <w:rPr/>
      </w:pPr>
      <w:r>
        <w:rPr/>
        <w:t>Diante destes sintomas, investigou-se a distribuição da variável sob a transformação do logaritmo natural, já que a renda em escala bruta quase certamente colocaria em risco o desempenho de qualquer modelo de regressão devido a um alto grau de alavancagem. A justificativa é suportada principalmente por dois motivos. O primeiro e mais importante diz respeito à teoria econômica que descreve que o ganho na capacidade de pagamento decorre de acréscimos percentuais na renda e não de aumentos nominais fixos. O segundo motivo é permitir a compressão da cauda longa e estabilização da escala, procedimento plenamente viabilizado pela ausência de valores nulos ou negativos na distribuição empírica da variável.</w:t>
      </w:r>
    </w:p>
    <w:p>
      <w:pPr>
        <w:pStyle w:val="BodyText"/>
        <w:jc w:val="both"/>
        <w:rPr/>
      </w:pPr>
      <w:r>
        <w:rPr/>
        <w:t xml:space="preserve">A inspeção visual dos histogramas da </w:t>
      </w:r>
      <w:hyperlink w:anchor="fig-hist-person-income-versus">
        <w:r>
          <w:rPr>
            <w:rStyle w:val="Hyperlink"/>
          </w:rPr>
          <w:t>Figura 6</w:t>
        </w:r>
      </w:hyperlink>
      <w:r>
        <w:rPr/>
        <w:t xml:space="preserve"> comprova a eficácia da transformação. O segundo histograma agora possui caudas muito mais leves se comparado ao primeiro.</w:t>
      </w:r>
    </w:p>
    <w:tbl>
      <w:tblPr>
        <w:tblStyle w:val="Table"/>
        <w:tblW w:w="4900" w:type="pct"/>
        <w:jc w:val="left"/>
        <w:tblInd w:w="0" w:type="dxa"/>
        <w:tblLayout w:type="fixed"/>
        <w:tblCellMar>
          <w:top w:w="0" w:type="dxa"/>
          <w:left w:w="108" w:type="dxa"/>
          <w:bottom w:w="0" w:type="dxa"/>
          <w:right w:w="108" w:type="dxa"/>
        </w:tblCellMar>
        <w:tblLook w:noHBand="0" w:noVBand="0" w:firstColumn="0" w:lastRow="0" w:lastColumn="0" w:firstRow="0" w:val="0000"/>
      </w:tblPr>
      <w:tblGrid>
        <w:gridCol w:w="4585"/>
        <w:gridCol w:w="4587"/>
      </w:tblGrid>
      <w:tr>
        <w:trPr/>
        <w:tc>
          <w:tcPr>
            <w:tcW w:w="4585" w:type="dxa"/>
            <w:tcBorders/>
          </w:tcPr>
          <w:tbl>
            <w:tblPr>
              <w:tblStyle w:val="Table"/>
              <w:tblW w:w="49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4281"/>
            </w:tblGrid>
            <w:tr>
              <w:trPr/>
              <w:tc>
                <w:tcPr>
                  <w:tcW w:w="4281" w:type="dxa"/>
                  <w:tcBorders/>
                </w:tcPr>
                <w:p>
                  <w:pPr>
                    <w:pStyle w:val="Compact"/>
                    <w:widowControl/>
                    <w:spacing w:before="36" w:after="36"/>
                    <w:jc w:val="both"/>
                    <w:rPr>
                      <w:rFonts w:ascii="Aptos" w:hAnsi="Aptos" w:eastAsia="Aptos" w:cs=""/>
                      <w:kern w:val="0"/>
                      <w:sz w:val="24"/>
                      <w:szCs w:val="24"/>
                      <w:lang w:val="pt-BR" w:eastAsia="en-US" w:bidi="ar-SA"/>
                    </w:rPr>
                  </w:pPr>
                  <w:bookmarkStart w:id="14" w:name="fig-hist-person-income-versus-1"/>
                  <w:r>
                    <w:rPr>
                      <w:rFonts w:eastAsia="Aptos" w:cs=""/>
                      <w:kern w:val="0"/>
                      <w:sz w:val="24"/>
                      <w:szCs w:val="24"/>
                      <w:lang w:val="pt-BR" w:eastAsia="en-US" w:bidi="ar-SA"/>
                    </w:rPr>
                    <w:drawing>
                      <wp:inline distT="0" distB="0" distL="0" distR="0">
                        <wp:extent cx="2971800" cy="237744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8"/>
                                <a:stretch>
                                  <a:fillRect/>
                                </a:stretch>
                              </pic:blipFill>
                              <pic:spPr bwMode="auto">
                                <a:xfrm>
                                  <a:off x="0" y="0"/>
                                  <a:ext cx="2971800" cy="2377440"/>
                                </a:xfrm>
                                <a:prstGeom prst="rect">
                                  <a:avLst/>
                                </a:prstGeom>
                                <a:noFill/>
                              </pic:spPr>
                            </pic:pic>
                          </a:graphicData>
                        </a:graphic>
                      </wp:inline>
                    </w:drawing>
                  </w:r>
                </w:p>
                <w:p>
                  <w:pPr>
                    <w:pStyle w:val="ImageCaption"/>
                    <w:widowControl/>
                    <w:spacing w:before="200" w:after="120"/>
                    <w:jc w:val="both"/>
                    <w:rPr>
                      <w:rFonts w:ascii="Aptos" w:hAnsi="Aptos" w:eastAsia="Aptos" w:cs=""/>
                      <w:kern w:val="0"/>
                      <w:sz w:val="24"/>
                      <w:szCs w:val="24"/>
                      <w:lang w:val="pt-BR" w:eastAsia="en-US" w:bidi="ar-SA"/>
                    </w:rPr>
                  </w:pPr>
                  <w:r>
                    <w:rPr>
                      <w:rFonts w:eastAsia="Aptos" w:cs=""/>
                      <w:kern w:val="0"/>
                      <w:sz w:val="24"/>
                      <w:szCs w:val="24"/>
                      <w:lang w:val="pt-BR" w:eastAsia="en-US" w:bidi="ar-SA"/>
                    </w:rPr>
                    <w:t>(a) Escala bruta</w:t>
                  </w:r>
                  <w:bookmarkEnd w:id="14"/>
                </w:p>
              </w:tc>
            </w:tr>
          </w:tbl>
          <w:p>
            <w:pPr>
              <w:pStyle w:val="Normal"/>
              <w:spacing w:before="0" w:after="200"/>
              <w:jc w:val="both"/>
              <w:rPr/>
            </w:pPr>
            <w:r>
              <w:rPr/>
            </w:r>
            <w:bookmarkStart w:id="15" w:name="fig-hist-person-income-versus"/>
          </w:p>
        </w:tc>
        <w:tc>
          <w:tcPr>
            <w:tcW w:w="4587" w:type="dxa"/>
            <w:tcBorders/>
          </w:tcPr>
          <w:tbl>
            <w:tblPr>
              <w:tblStyle w:val="Table"/>
              <w:tblW w:w="4900" w:type="pct"/>
              <w:jc w:val="left"/>
              <w:tblInd w:w="0" w:type="dxa"/>
              <w:tblLayout w:type="fixed"/>
              <w:tblCellMar>
                <w:top w:w="0" w:type="dxa"/>
                <w:left w:w="108" w:type="dxa"/>
                <w:bottom w:w="0" w:type="dxa"/>
                <w:right w:w="108" w:type="dxa"/>
              </w:tblCellMar>
              <w:tblLook w:noHBand="0" w:noVBand="0" w:firstColumn="0" w:lastRow="0" w:lastColumn="0" w:firstRow="0" w:val="0000"/>
            </w:tblPr>
            <w:tblGrid>
              <w:gridCol w:w="4283"/>
            </w:tblGrid>
            <w:tr>
              <w:trPr/>
              <w:tc>
                <w:tcPr>
                  <w:tcW w:w="4283" w:type="dxa"/>
                  <w:tcBorders/>
                </w:tcPr>
                <w:p>
                  <w:pPr>
                    <w:pStyle w:val="Compact"/>
                    <w:widowControl/>
                    <w:spacing w:before="36" w:after="36"/>
                    <w:jc w:val="both"/>
                    <w:rPr>
                      <w:rFonts w:ascii="Aptos" w:hAnsi="Aptos" w:eastAsia="Aptos" w:cs=""/>
                      <w:kern w:val="0"/>
                      <w:sz w:val="24"/>
                      <w:szCs w:val="24"/>
                      <w:lang w:val="pt-BR" w:eastAsia="en-US" w:bidi="ar-SA"/>
                    </w:rPr>
                  </w:pPr>
                  <w:bookmarkStart w:id="16" w:name="fig-hist-person-income-versus-2"/>
                  <w:r>
                    <w:rPr>
                      <w:rFonts w:eastAsia="Aptos" w:cs=""/>
                      <w:kern w:val="0"/>
                      <w:sz w:val="24"/>
                      <w:szCs w:val="24"/>
                      <w:lang w:val="pt-BR" w:eastAsia="en-US" w:bidi="ar-SA"/>
                    </w:rPr>
                    <w:drawing>
                      <wp:inline distT="0" distB="0" distL="0" distR="0">
                        <wp:extent cx="2971800" cy="237744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9"/>
                                <a:stretch>
                                  <a:fillRect/>
                                </a:stretch>
                              </pic:blipFill>
                              <pic:spPr bwMode="auto">
                                <a:xfrm>
                                  <a:off x="0" y="0"/>
                                  <a:ext cx="2971800" cy="2377440"/>
                                </a:xfrm>
                                <a:prstGeom prst="rect">
                                  <a:avLst/>
                                </a:prstGeom>
                                <a:noFill/>
                              </pic:spPr>
                            </pic:pic>
                          </a:graphicData>
                        </a:graphic>
                      </wp:inline>
                    </w:drawing>
                  </w:r>
                </w:p>
                <w:p>
                  <w:pPr>
                    <w:pStyle w:val="ImageCaption"/>
                    <w:widowControl/>
                    <w:spacing w:before="200" w:after="120"/>
                    <w:jc w:val="both"/>
                    <w:rPr>
                      <w:rFonts w:ascii="Aptos" w:hAnsi="Aptos" w:eastAsia="Aptos" w:cs=""/>
                      <w:kern w:val="0"/>
                      <w:sz w:val="24"/>
                      <w:szCs w:val="24"/>
                      <w:lang w:val="pt-BR" w:eastAsia="en-US" w:bidi="ar-SA"/>
                    </w:rPr>
                  </w:pPr>
                  <w:r>
                    <w:rPr>
                      <w:rFonts w:eastAsia="Aptos" w:cs=""/>
                      <w:kern w:val="0"/>
                      <w:sz w:val="24"/>
                      <w:szCs w:val="24"/>
                      <w:lang w:val="pt-BR" w:eastAsia="en-US" w:bidi="ar-SA"/>
                    </w:rPr>
                    <w:t>(b) Escala logarítmica (ln)</w:t>
                  </w:r>
                  <w:bookmarkEnd w:id="16"/>
                </w:p>
              </w:tc>
            </w:tr>
          </w:tbl>
          <w:p>
            <w:pPr>
              <w:pStyle w:val="Normal"/>
              <w:spacing w:before="0" w:after="200"/>
              <w:jc w:val="both"/>
              <w:rPr/>
            </w:pPr>
            <w:r>
              <w:rPr/>
            </w:r>
          </w:p>
        </w:tc>
      </w:tr>
    </w:tbl>
    <w:p>
      <w:pPr>
        <w:pStyle w:val="ImageCaption"/>
        <w:spacing w:before="200" w:after="120"/>
        <w:jc w:val="both"/>
        <w:rPr/>
      </w:pPr>
      <w:r>
        <w:rPr/>
        <w:t>Figura 6: Distribuição da renda anual em escala original e logarítmica</w:t>
      </w:r>
      <w:bookmarkEnd w:id="15"/>
    </w:p>
    <w:p>
      <w:pPr>
        <w:pStyle w:val="BodyText"/>
        <w:jc w:val="both"/>
        <w:rPr/>
      </w:pPr>
      <w:r>
        <w:rPr/>
        <w:t>A escala logarítmica reduz a curtose dos dados de 228 para 4 e possui um coeficiente de assimetria de 0.14, que descreve uma distribuição muito mais simétrica.</w:t>
      </w:r>
    </w:p>
    <w:p>
      <w:pPr>
        <w:pStyle w:val="Heading3"/>
        <w:jc w:val="both"/>
        <w:rPr/>
      </w:pPr>
      <w:r>
        <w:rPr/>
        <w:t>Tempo no emprego atual</w:t>
      </w:r>
    </w:p>
    <w:p>
      <w:pPr>
        <w:pStyle w:val="FirstParagraph"/>
        <w:jc w:val="both"/>
        <w:rPr/>
      </w:pPr>
      <w:r>
        <w:rPr/>
        <w:t xml:space="preserve">As medidas descritivas do tempo no emprego dos tomadores de crédito da </w:t>
      </w:r>
      <w:hyperlink w:anchor="tbl-desc-analysis-summary">
        <w:r>
          <w:rPr>
            <w:rStyle w:val="Hyperlink"/>
          </w:rPr>
          <w:t>Tabela 2</w:t>
        </w:r>
      </w:hyperlink>
      <w:r>
        <w:rPr/>
        <w:t xml:space="preserve"> reflete que metade das pessoas permance no mesmo emprego por até 4 anos. O terceiro quartil aponta que a maioria empréstimos é feita por pessoas que estão nos seus empregos há no máximo 7 anos.</w:t>
      </w:r>
    </w:p>
    <w:p>
      <w:pPr>
        <w:pStyle w:val="BodyText"/>
        <w:jc w:val="both"/>
        <w:rPr/>
      </w:pPr>
      <w:r>
        <w:rPr/>
        <w:t xml:space="preserve">Esta variável também apresenta uma concentração superior de outliers que se estende até 41 anos. Pela </w:t>
      </w:r>
      <w:hyperlink w:anchor="fig-boxplot-person-emp-length">
        <w:r>
          <w:rPr>
            <w:rStyle w:val="Hyperlink"/>
          </w:rPr>
          <w:t>Figura 7</w:t>
        </w:r>
      </w:hyperlink>
      <w:r>
        <w:rPr/>
        <w:t>, os adimplentes de crédito geralmente permanecem mais tempo nos seus empregos.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widowControl/>
              <w:spacing w:before="36" w:after="36"/>
              <w:jc w:val="both"/>
              <w:rPr>
                <w:rFonts w:ascii="Aptos" w:hAnsi="Aptos" w:eastAsia="Aptos" w:cs=""/>
                <w:kern w:val="0"/>
                <w:sz w:val="24"/>
                <w:szCs w:val="24"/>
                <w:lang w:val="pt-BR" w:eastAsia="en-US" w:bidi="ar-SA"/>
              </w:rPr>
            </w:pPr>
            <w:bookmarkStart w:id="17" w:name="fig-boxplot-person-emp-length"/>
            <w:r>
              <w:rPr>
                <w:rFonts w:eastAsia="Aptos" w:cs=""/>
                <w:kern w:val="0"/>
                <w:sz w:val="24"/>
                <w:szCs w:val="24"/>
                <w:lang w:val="pt-BR" w:eastAsia="en-US" w:bidi="ar-SA"/>
              </w:rPr>
              <w:drawing>
                <wp:inline distT="0" distB="0" distL="0" distR="0">
                  <wp:extent cx="4620260" cy="369633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0"/>
                          <a:stretch>
                            <a:fillRect/>
                          </a:stretch>
                        </pic:blipFill>
                        <pic:spPr bwMode="auto">
                          <a:xfrm>
                            <a:off x="0" y="0"/>
                            <a:ext cx="4620260" cy="3696335"/>
                          </a:xfrm>
                          <a:prstGeom prst="rect">
                            <a:avLst/>
                          </a:prstGeom>
                          <a:noFill/>
                        </pic:spPr>
                      </pic:pic>
                    </a:graphicData>
                  </a:graphic>
                </wp:inline>
              </w:drawing>
            </w:r>
          </w:p>
          <w:p>
            <w:pPr>
              <w:pStyle w:val="ImageCaption"/>
              <w:widowControl/>
              <w:spacing w:before="200" w:after="120"/>
              <w:jc w:val="both"/>
              <w:rPr>
                <w:rFonts w:ascii="Aptos" w:hAnsi="Aptos" w:eastAsia="Aptos" w:cs=""/>
                <w:kern w:val="0"/>
                <w:sz w:val="24"/>
                <w:szCs w:val="24"/>
                <w:lang w:val="pt-BR" w:eastAsia="en-US" w:bidi="ar-SA"/>
              </w:rPr>
            </w:pPr>
            <w:r>
              <w:rPr>
                <w:rFonts w:eastAsia="Aptos" w:cs=""/>
                <w:kern w:val="0"/>
                <w:sz w:val="24"/>
                <w:szCs w:val="24"/>
                <w:lang w:val="pt-BR" w:eastAsia="en-US" w:bidi="ar-SA"/>
              </w:rPr>
              <w:t>Figura 7: Distribuição dos tempos no emprego do tomador por situação de empréstimo</w:t>
            </w:r>
            <w:bookmarkEnd w:id="17"/>
          </w:p>
        </w:tc>
      </w:tr>
    </w:tbl>
    <w:p>
      <w:pPr>
        <w:pStyle w:val="BodyText"/>
        <w:jc w:val="both"/>
        <w:rPr/>
      </w:pPr>
      <w:r>
        <w:rPr/>
        <w:t xml:space="preserve">O gráfico de barras da </w:t>
      </w:r>
      <w:hyperlink w:anchor="fig-bar-person-emp-length">
        <w:r>
          <w:rPr>
            <w:rStyle w:val="Hyperlink"/>
          </w:rPr>
          <w:t>Figura 8</w:t>
        </w:r>
      </w:hyperlink>
      <w:r>
        <w:rPr/>
        <w:t xml:space="preserve"> mostra que a variável possui uma distribuição assimétrica positiva, com cauda pesada à direita. Chama a atenção a manifestação de um fenômeno natural na variável: pessoas desempregadas são as que mais tomam empréstismos, e isso pode ser observado na figura.</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widowControl/>
              <w:spacing w:before="36" w:after="36"/>
              <w:jc w:val="both"/>
              <w:rPr>
                <w:rFonts w:ascii="Aptos" w:hAnsi="Aptos" w:eastAsia="Aptos" w:cs=""/>
                <w:kern w:val="0"/>
                <w:sz w:val="24"/>
                <w:szCs w:val="24"/>
                <w:lang w:val="pt-BR" w:eastAsia="en-US" w:bidi="ar-SA"/>
              </w:rPr>
            </w:pPr>
            <w:bookmarkStart w:id="18" w:name="fig-bar-person-emp-length"/>
            <w:r>
              <w:rPr>
                <w:rFonts w:eastAsia="Aptos" w:cs=""/>
                <w:kern w:val="0"/>
                <w:sz w:val="24"/>
                <w:szCs w:val="24"/>
                <w:lang w:val="pt-BR" w:eastAsia="en-US" w:bidi="ar-SA"/>
              </w:rPr>
              <w:drawing>
                <wp:inline distT="0" distB="0" distL="0" distR="0">
                  <wp:extent cx="4620260" cy="3696335"/>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1"/>
                          <a:stretch>
                            <a:fillRect/>
                          </a:stretch>
                        </pic:blipFill>
                        <pic:spPr bwMode="auto">
                          <a:xfrm>
                            <a:off x="0" y="0"/>
                            <a:ext cx="4620260" cy="3696335"/>
                          </a:xfrm>
                          <a:prstGeom prst="rect">
                            <a:avLst/>
                          </a:prstGeom>
                          <a:noFill/>
                        </pic:spPr>
                      </pic:pic>
                    </a:graphicData>
                  </a:graphic>
                </wp:inline>
              </w:drawing>
            </w:r>
          </w:p>
          <w:p>
            <w:pPr>
              <w:pStyle w:val="ImageCaption"/>
              <w:widowControl/>
              <w:spacing w:before="200" w:after="120"/>
              <w:jc w:val="both"/>
              <w:rPr>
                <w:rFonts w:ascii="Aptos" w:hAnsi="Aptos" w:eastAsia="Aptos" w:cs=""/>
                <w:kern w:val="0"/>
                <w:sz w:val="24"/>
                <w:szCs w:val="24"/>
                <w:lang w:val="pt-BR" w:eastAsia="en-US" w:bidi="ar-SA"/>
              </w:rPr>
            </w:pPr>
            <w:r>
              <w:rPr>
                <w:rFonts w:eastAsia="Aptos" w:cs=""/>
                <w:kern w:val="0"/>
                <w:sz w:val="24"/>
                <w:szCs w:val="24"/>
                <w:lang w:val="pt-BR" w:eastAsia="en-US" w:bidi="ar-SA"/>
              </w:rPr>
              <w:t>Figura 8: Distribuição dos tempos no emprego do tomador</w:t>
            </w:r>
            <w:bookmarkStart w:id="19" w:name="tempo-no-emprego-atual"/>
            <w:bookmarkEnd w:id="18"/>
            <w:bookmarkEnd w:id="19"/>
          </w:p>
        </w:tc>
      </w:tr>
    </w:tbl>
    <w:p>
      <w:pPr>
        <w:pStyle w:val="Heading3"/>
        <w:jc w:val="both"/>
        <w:rPr/>
      </w:pPr>
      <w:r>
        <w:rPr/>
        <w:t>Valor do empréstimo</w:t>
      </w:r>
    </w:p>
    <w:p>
      <w:pPr>
        <w:pStyle w:val="FirstParagraph"/>
        <w:jc w:val="both"/>
        <w:rPr/>
      </w:pPr>
      <w:r>
        <w:rPr/>
        <w:t xml:space="preserve">A média de empréstimos na base é de 9588.1. A mediana do segundo grupo da </w:t>
      </w:r>
      <w:hyperlink w:anchor="fig-boxplot-loan-amnt">
        <w:r>
          <w:rPr>
            <w:rStyle w:val="Hyperlink"/>
          </w:rPr>
          <w:t>Figura 9</w:t>
        </w:r>
      </w:hyperlink>
      <w:r>
        <w:rPr/>
        <w:t xml:space="preserve"> indica que aqueles que não pagam costumam tomar empréstimos mais altos e com maior frequência do que aqueles que pagam (o que é sinalizado pela cercas de Tukey mais amplas do segundo grupo em conjunto com um menor número de outliers).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widowControl/>
              <w:spacing w:before="36" w:after="36"/>
              <w:jc w:val="both"/>
              <w:rPr>
                <w:rFonts w:ascii="Aptos" w:hAnsi="Aptos" w:eastAsia="Aptos" w:cs=""/>
                <w:kern w:val="0"/>
                <w:sz w:val="24"/>
                <w:szCs w:val="24"/>
                <w:lang w:val="pt-BR" w:eastAsia="en-US" w:bidi="ar-SA"/>
              </w:rPr>
            </w:pPr>
            <w:bookmarkStart w:id="20" w:name="fig-boxplot-loan-amnt"/>
            <w:r>
              <w:rPr>
                <w:rFonts w:eastAsia="Aptos" w:cs=""/>
                <w:kern w:val="0"/>
                <w:sz w:val="24"/>
                <w:szCs w:val="24"/>
                <w:lang w:val="pt-BR" w:eastAsia="en-US" w:bidi="ar-SA"/>
              </w:rPr>
              <w:drawing>
                <wp:inline distT="0" distB="0" distL="0" distR="0">
                  <wp:extent cx="4620260" cy="3696335"/>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2"/>
                          <a:stretch>
                            <a:fillRect/>
                          </a:stretch>
                        </pic:blipFill>
                        <pic:spPr bwMode="auto">
                          <a:xfrm>
                            <a:off x="0" y="0"/>
                            <a:ext cx="4620260" cy="3696335"/>
                          </a:xfrm>
                          <a:prstGeom prst="rect">
                            <a:avLst/>
                          </a:prstGeom>
                          <a:noFill/>
                        </pic:spPr>
                      </pic:pic>
                    </a:graphicData>
                  </a:graphic>
                </wp:inline>
              </w:drawing>
            </w:r>
          </w:p>
          <w:p>
            <w:pPr>
              <w:pStyle w:val="ImageCaption"/>
              <w:widowControl/>
              <w:spacing w:before="200" w:after="120"/>
              <w:jc w:val="both"/>
              <w:rPr>
                <w:rFonts w:ascii="Aptos" w:hAnsi="Aptos" w:eastAsia="Aptos" w:cs=""/>
                <w:kern w:val="0"/>
                <w:sz w:val="24"/>
                <w:szCs w:val="24"/>
                <w:lang w:val="pt-BR" w:eastAsia="en-US" w:bidi="ar-SA"/>
              </w:rPr>
            </w:pPr>
            <w:r>
              <w:rPr>
                <w:rFonts w:eastAsia="Aptos" w:cs=""/>
                <w:kern w:val="0"/>
                <w:sz w:val="24"/>
                <w:szCs w:val="24"/>
                <w:lang w:val="pt-BR" w:eastAsia="en-US" w:bidi="ar-SA"/>
              </w:rPr>
              <w:t>Figura 9: Distribuição dos empréstimos por situação de empréstimo</w:t>
            </w:r>
            <w:bookmarkEnd w:id="20"/>
          </w:p>
        </w:tc>
      </w:tr>
    </w:tbl>
    <w:p>
      <w:pPr>
        <w:pStyle w:val="BodyText"/>
        <w:jc w:val="both"/>
        <w:rPr/>
      </w:pPr>
      <w:r>
        <w:rPr/>
        <w:t>O histograma aponta que a maior parte dos empréstimos estão concentrados na metade esquerda do gráfico. Há um número razoável de empréstimos de até 25 mil. Concessão de empréstimos acima desse valor decaem drasticamente.</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widowControl/>
              <w:spacing w:before="36" w:after="36"/>
              <w:jc w:val="both"/>
              <w:rPr>
                <w:rFonts w:ascii="Aptos" w:hAnsi="Aptos" w:eastAsia="Aptos" w:cs=""/>
                <w:kern w:val="0"/>
                <w:sz w:val="24"/>
                <w:szCs w:val="24"/>
                <w:lang w:val="pt-BR" w:eastAsia="en-US" w:bidi="ar-SA"/>
              </w:rPr>
            </w:pPr>
            <w:bookmarkStart w:id="21" w:name="fig-hist-loan-amnt"/>
            <w:r>
              <w:rPr>
                <w:rFonts w:eastAsia="Aptos" w:cs=""/>
                <w:kern w:val="0"/>
                <w:sz w:val="24"/>
                <w:szCs w:val="24"/>
                <w:lang w:val="pt-BR" w:eastAsia="en-US" w:bidi="ar-SA"/>
              </w:rPr>
              <w:drawing>
                <wp:inline distT="0" distB="0" distL="0" distR="0">
                  <wp:extent cx="4620260" cy="3696335"/>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3"/>
                          <a:stretch>
                            <a:fillRect/>
                          </a:stretch>
                        </pic:blipFill>
                        <pic:spPr bwMode="auto">
                          <a:xfrm>
                            <a:off x="0" y="0"/>
                            <a:ext cx="4620260" cy="3696335"/>
                          </a:xfrm>
                          <a:prstGeom prst="rect">
                            <a:avLst/>
                          </a:prstGeom>
                          <a:noFill/>
                        </pic:spPr>
                      </pic:pic>
                    </a:graphicData>
                  </a:graphic>
                </wp:inline>
              </w:drawing>
            </w:r>
          </w:p>
          <w:p>
            <w:pPr>
              <w:pStyle w:val="ImageCaption"/>
              <w:widowControl/>
              <w:spacing w:before="200" w:after="120"/>
              <w:jc w:val="both"/>
              <w:rPr>
                <w:rFonts w:ascii="Aptos" w:hAnsi="Aptos" w:eastAsia="Aptos" w:cs=""/>
                <w:kern w:val="0"/>
                <w:sz w:val="24"/>
                <w:szCs w:val="24"/>
                <w:lang w:val="pt-BR" w:eastAsia="en-US" w:bidi="ar-SA"/>
              </w:rPr>
            </w:pPr>
            <w:r>
              <w:rPr>
                <w:rFonts w:eastAsia="Aptos" w:cs=""/>
                <w:kern w:val="0"/>
                <w:sz w:val="24"/>
                <w:szCs w:val="24"/>
                <w:lang w:val="pt-BR" w:eastAsia="en-US" w:bidi="ar-SA"/>
              </w:rPr>
              <w:t>Figura 10: Distribuição dos empréstimos</w:t>
            </w:r>
            <w:bookmarkEnd w:id="21"/>
          </w:p>
        </w:tc>
      </w:tr>
    </w:tbl>
    <w:p>
      <w:pPr>
        <w:pStyle w:val="Heading3"/>
        <w:jc w:val="both"/>
        <w:rPr/>
      </w:pPr>
      <w:r>
        <w:rPr/>
        <w:t>Taxa de juros</w:t>
      </w:r>
    </w:p>
    <w:p>
      <w:pPr>
        <w:pStyle w:val="FirstParagraph"/>
        <w:jc w:val="both"/>
        <w:rPr/>
      </w:pPr>
      <w:r>
        <w:rPr/>
        <w:t xml:space="preserve">A relação da taxa de juros com o status de inadimplência é bem clara. Como exibido na </w:t>
      </w:r>
      <w:hyperlink w:anchor="fig-boxplot-loan-int-rate">
        <w:r>
          <w:rPr>
            <w:rStyle w:val="Hyperlink"/>
          </w:rPr>
          <w:t>Figura 11</w:t>
        </w:r>
      </w:hyperlink>
      <w:r>
        <w:rPr/>
        <w:t>, o grupo de inadimplementes, por representarem um risco maior às instituições financeiras, contraem empréstimos com taxas de juros significativamente mais altas se comparado com o grupo dos que pagam em dia.</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widowControl/>
              <w:spacing w:before="36" w:after="36"/>
              <w:jc w:val="both"/>
              <w:rPr>
                <w:rFonts w:ascii="Aptos" w:hAnsi="Aptos" w:eastAsia="Aptos" w:cs=""/>
                <w:kern w:val="0"/>
                <w:sz w:val="24"/>
                <w:szCs w:val="24"/>
                <w:lang w:val="pt-BR" w:eastAsia="en-US" w:bidi="ar-SA"/>
              </w:rPr>
            </w:pPr>
            <w:bookmarkStart w:id="22" w:name="fig-boxplot-loan-int-rate"/>
            <w:r>
              <w:rPr>
                <w:rFonts w:eastAsia="Aptos" w:cs=""/>
                <w:kern w:val="0"/>
                <w:sz w:val="24"/>
                <w:szCs w:val="24"/>
                <w:lang w:val="pt-BR" w:eastAsia="en-US" w:bidi="ar-SA"/>
              </w:rPr>
              <w:drawing>
                <wp:inline distT="0" distB="0" distL="0" distR="0">
                  <wp:extent cx="4620260" cy="3696335"/>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4"/>
                          <a:stretch>
                            <a:fillRect/>
                          </a:stretch>
                        </pic:blipFill>
                        <pic:spPr bwMode="auto">
                          <a:xfrm>
                            <a:off x="0" y="0"/>
                            <a:ext cx="4620260" cy="3696335"/>
                          </a:xfrm>
                          <a:prstGeom prst="rect">
                            <a:avLst/>
                          </a:prstGeom>
                          <a:noFill/>
                        </pic:spPr>
                      </pic:pic>
                    </a:graphicData>
                  </a:graphic>
                </wp:inline>
              </w:drawing>
            </w:r>
          </w:p>
          <w:p>
            <w:pPr>
              <w:pStyle w:val="ImageCaption"/>
              <w:widowControl/>
              <w:spacing w:before="200" w:after="120"/>
              <w:jc w:val="both"/>
              <w:rPr>
                <w:rFonts w:ascii="Aptos" w:hAnsi="Aptos" w:eastAsia="Aptos" w:cs=""/>
                <w:kern w:val="0"/>
                <w:sz w:val="24"/>
                <w:szCs w:val="24"/>
                <w:lang w:val="pt-BR" w:eastAsia="en-US" w:bidi="ar-SA"/>
              </w:rPr>
            </w:pPr>
            <w:r>
              <w:rPr>
                <w:rFonts w:eastAsia="Aptos" w:cs=""/>
                <w:kern w:val="0"/>
                <w:sz w:val="24"/>
                <w:szCs w:val="24"/>
                <w:lang w:val="pt-BR" w:eastAsia="en-US" w:bidi="ar-SA"/>
              </w:rPr>
              <w:t>Figura 11: Distribuição das taxas de juros dos empréstimos contratados por situação de empréstimo</w:t>
            </w:r>
            <w:bookmarkEnd w:id="22"/>
          </w:p>
        </w:tc>
      </w:tr>
    </w:tbl>
    <w:p>
      <w:pPr>
        <w:pStyle w:val="BodyText"/>
        <w:jc w:val="both"/>
        <w:rPr/>
      </w:pPr>
      <w:r>
        <w:rPr/>
        <w:t>Já o histograma da taxa de juros demonstra que esta variável poussi uma assimetria positiva bem mais atenuada e uma cauda direta mais suave.</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widowControl/>
              <w:spacing w:before="36" w:after="36"/>
              <w:jc w:val="both"/>
              <w:rPr>
                <w:rFonts w:ascii="Aptos" w:hAnsi="Aptos" w:eastAsia="Aptos" w:cs=""/>
                <w:kern w:val="0"/>
                <w:sz w:val="24"/>
                <w:szCs w:val="24"/>
                <w:lang w:val="pt-BR" w:eastAsia="en-US" w:bidi="ar-SA"/>
              </w:rPr>
            </w:pPr>
            <w:bookmarkStart w:id="23" w:name="fig-hist-loan-int-rate"/>
            <w:r>
              <w:rPr>
                <w:rFonts w:eastAsia="Aptos" w:cs=""/>
                <w:kern w:val="0"/>
                <w:sz w:val="24"/>
                <w:szCs w:val="24"/>
                <w:lang w:val="pt-BR" w:eastAsia="en-US" w:bidi="ar-SA"/>
              </w:rPr>
              <w:drawing>
                <wp:inline distT="0" distB="0" distL="0" distR="0">
                  <wp:extent cx="4620260" cy="3696335"/>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5"/>
                          <a:stretch>
                            <a:fillRect/>
                          </a:stretch>
                        </pic:blipFill>
                        <pic:spPr bwMode="auto">
                          <a:xfrm>
                            <a:off x="0" y="0"/>
                            <a:ext cx="4620260" cy="3696335"/>
                          </a:xfrm>
                          <a:prstGeom prst="rect">
                            <a:avLst/>
                          </a:prstGeom>
                          <a:noFill/>
                        </pic:spPr>
                      </pic:pic>
                    </a:graphicData>
                  </a:graphic>
                </wp:inline>
              </w:drawing>
            </w:r>
          </w:p>
          <w:p>
            <w:pPr>
              <w:pStyle w:val="ImageCaption"/>
              <w:widowControl/>
              <w:spacing w:before="200" w:after="120"/>
              <w:jc w:val="both"/>
              <w:rPr>
                <w:rFonts w:ascii="Aptos" w:hAnsi="Aptos" w:eastAsia="Aptos" w:cs=""/>
                <w:kern w:val="0"/>
                <w:sz w:val="24"/>
                <w:szCs w:val="24"/>
                <w:lang w:val="pt-BR" w:eastAsia="en-US" w:bidi="ar-SA"/>
              </w:rPr>
            </w:pPr>
            <w:r>
              <w:rPr>
                <w:rFonts w:eastAsia="Aptos" w:cs=""/>
                <w:kern w:val="0"/>
                <w:sz w:val="24"/>
                <w:szCs w:val="24"/>
                <w:lang w:val="pt-BR" w:eastAsia="en-US" w:bidi="ar-SA"/>
              </w:rPr>
              <w:t>Figura 12: Distribuição das taxas de juros dos empréstimos contratados</w:t>
            </w:r>
            <w:bookmarkEnd w:id="23"/>
          </w:p>
        </w:tc>
      </w:tr>
    </w:tbl>
    <w:p>
      <w:pPr>
        <w:pStyle w:val="Heading3"/>
        <w:jc w:val="both"/>
        <w:rPr/>
      </w:pPr>
      <w:r>
        <w:rPr/>
        <w:t>Comprometimento da renda</w:t>
      </w:r>
    </w:p>
    <w:p>
      <w:pPr>
        <w:pStyle w:val="FirstParagraph"/>
        <w:jc w:val="both"/>
        <w:rPr/>
      </w:pPr>
      <w:r>
        <w:rPr/>
        <w:t xml:space="preserve">Em relação ao comprometimento da renda, que é a razão entre o valor do empréstimo sobre a renda anual do indivíduo, podemos observar pela </w:t>
      </w:r>
      <w:hyperlink w:anchor="fig-boxplot-loan-percent-income">
        <w:r>
          <w:rPr>
            <w:rStyle w:val="Hyperlink"/>
          </w:rPr>
          <w:t>Figura 13</w:t>
        </w:r>
      </w:hyperlink>
      <w:r>
        <w:rPr/>
        <w:t xml:space="preserve"> que as pessoas que não quitaram seus empréstimos comprometem mais a sua renda quando contraem esses empréstimos se comparado com os grupos que quitaram a dívida. É um comportamento semelhante a da taxa de juros, em que os 3 quartis do segundo grupo são maiores que os do primeiro.</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widowControl/>
              <w:spacing w:before="36" w:after="36"/>
              <w:jc w:val="both"/>
              <w:rPr>
                <w:rFonts w:ascii="Aptos" w:hAnsi="Aptos" w:eastAsia="Aptos" w:cs=""/>
                <w:kern w:val="0"/>
                <w:sz w:val="24"/>
                <w:szCs w:val="24"/>
                <w:lang w:val="pt-BR" w:eastAsia="en-US" w:bidi="ar-SA"/>
              </w:rPr>
            </w:pPr>
            <w:bookmarkStart w:id="24" w:name="fig-boxplot-loan-percent-income"/>
            <w:r>
              <w:rPr>
                <w:rFonts w:eastAsia="Aptos" w:cs=""/>
                <w:kern w:val="0"/>
                <w:sz w:val="24"/>
                <w:szCs w:val="24"/>
                <w:lang w:val="pt-BR" w:eastAsia="en-US" w:bidi="ar-SA"/>
              </w:rPr>
              <w:drawing>
                <wp:inline distT="0" distB="0" distL="0" distR="0">
                  <wp:extent cx="4620260" cy="3696335"/>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6"/>
                          <a:stretch>
                            <a:fillRect/>
                          </a:stretch>
                        </pic:blipFill>
                        <pic:spPr bwMode="auto">
                          <a:xfrm>
                            <a:off x="0" y="0"/>
                            <a:ext cx="4620260" cy="3696335"/>
                          </a:xfrm>
                          <a:prstGeom prst="rect">
                            <a:avLst/>
                          </a:prstGeom>
                          <a:noFill/>
                        </pic:spPr>
                      </pic:pic>
                    </a:graphicData>
                  </a:graphic>
                </wp:inline>
              </w:drawing>
            </w:r>
          </w:p>
          <w:p>
            <w:pPr>
              <w:pStyle w:val="ImageCaption"/>
              <w:widowControl/>
              <w:spacing w:before="200" w:after="120"/>
              <w:jc w:val="both"/>
              <w:rPr>
                <w:rFonts w:ascii="Aptos" w:hAnsi="Aptos" w:eastAsia="Aptos" w:cs=""/>
                <w:kern w:val="0"/>
                <w:sz w:val="24"/>
                <w:szCs w:val="24"/>
                <w:lang w:val="pt-BR" w:eastAsia="en-US" w:bidi="ar-SA"/>
              </w:rPr>
            </w:pPr>
            <w:r>
              <w:rPr>
                <w:rFonts w:eastAsia="Aptos" w:cs=""/>
                <w:kern w:val="0"/>
                <w:sz w:val="24"/>
                <w:szCs w:val="24"/>
                <w:lang w:val="pt-BR" w:eastAsia="en-US" w:bidi="ar-SA"/>
              </w:rPr>
              <w:t>Figura 13: Distribuição do comprometimento da renda por situação de empréstimo</w:t>
            </w:r>
            <w:bookmarkEnd w:id="24"/>
          </w:p>
        </w:tc>
      </w:tr>
    </w:tbl>
    <w:p>
      <w:pPr>
        <w:pStyle w:val="BodyText"/>
        <w:jc w:val="both"/>
        <w:rPr/>
      </w:pPr>
      <w:r>
        <w:rPr/>
        <w:t>Enquanto os adimplentes costumam comprometer até 40% de suas rendas, os inadimplementes comprometem até um pouco mais de 60% de suas rendas. Isto sem levar em conta os pontos exteriores (possíveis outliers).</w:t>
      </w:r>
    </w:p>
    <w:p>
      <w:pPr>
        <w:pStyle w:val="BodyText"/>
        <w:jc w:val="both"/>
        <w:rPr/>
      </w:pPr>
      <w:r>
        <w:rPr/>
        <w:t>Embora a tabela de medidas descritivas revele que há empréstimos que podem chegar a comprometer até 83% da renda do tomador. O histograma da distribuição mostra que no geral a maior parte dos empréstimos comprometem até metade da renda anual dos tomadores.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widowControl/>
              <w:spacing w:before="36" w:after="36"/>
              <w:jc w:val="both"/>
              <w:rPr>
                <w:rFonts w:ascii="Aptos" w:hAnsi="Aptos" w:eastAsia="Aptos" w:cs=""/>
                <w:kern w:val="0"/>
                <w:sz w:val="24"/>
                <w:szCs w:val="24"/>
                <w:lang w:val="pt-BR" w:eastAsia="en-US" w:bidi="ar-SA"/>
              </w:rPr>
            </w:pPr>
            <w:bookmarkStart w:id="25" w:name="fig-hist-loan-percent-income"/>
            <w:r>
              <w:rPr>
                <w:rFonts w:eastAsia="Aptos" w:cs=""/>
                <w:kern w:val="0"/>
                <w:sz w:val="24"/>
                <w:szCs w:val="24"/>
                <w:lang w:val="pt-BR" w:eastAsia="en-US" w:bidi="ar-SA"/>
              </w:rPr>
              <w:drawing>
                <wp:inline distT="0" distB="0" distL="0" distR="0">
                  <wp:extent cx="4620260" cy="3696335"/>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7"/>
                          <a:stretch>
                            <a:fillRect/>
                          </a:stretch>
                        </pic:blipFill>
                        <pic:spPr bwMode="auto">
                          <a:xfrm>
                            <a:off x="0" y="0"/>
                            <a:ext cx="4620260" cy="3696335"/>
                          </a:xfrm>
                          <a:prstGeom prst="rect">
                            <a:avLst/>
                          </a:prstGeom>
                          <a:noFill/>
                        </pic:spPr>
                      </pic:pic>
                    </a:graphicData>
                  </a:graphic>
                </wp:inline>
              </w:drawing>
            </w:r>
          </w:p>
          <w:p>
            <w:pPr>
              <w:pStyle w:val="ImageCaption"/>
              <w:widowControl/>
              <w:spacing w:before="200" w:after="120"/>
              <w:jc w:val="both"/>
              <w:rPr>
                <w:rFonts w:ascii="Aptos" w:hAnsi="Aptos" w:eastAsia="Aptos" w:cs=""/>
                <w:kern w:val="0"/>
                <w:sz w:val="24"/>
                <w:szCs w:val="24"/>
                <w:lang w:val="pt-BR" w:eastAsia="en-US" w:bidi="ar-SA"/>
              </w:rPr>
            </w:pPr>
            <w:r>
              <w:rPr>
                <w:rFonts w:eastAsia="Aptos" w:cs=""/>
                <w:kern w:val="0"/>
                <w:sz w:val="24"/>
                <w:szCs w:val="24"/>
                <w:lang w:val="pt-BR" w:eastAsia="en-US" w:bidi="ar-SA"/>
              </w:rPr>
              <w:t>Figura 14: Distribuição do comprometimento da renda</w:t>
            </w:r>
            <w:bookmarkEnd w:id="25"/>
          </w:p>
        </w:tc>
      </w:tr>
    </w:tbl>
    <w:p>
      <w:pPr>
        <w:pStyle w:val="Heading3"/>
        <w:jc w:val="both"/>
        <w:rPr/>
      </w:pPr>
      <w:r>
        <w:rPr/>
        <w:t>Histórico de crédito</w:t>
      </w:r>
    </w:p>
    <w:p>
      <w:pPr>
        <w:pStyle w:val="FirstParagraph"/>
        <w:jc w:val="both"/>
        <w:rPr/>
      </w:pPr>
      <w:r>
        <w:rPr/>
        <w:t xml:space="preserve">O histórico de crédito médio dos tomadores de crédito é de cerca de 5.8 anos com desvio padrão de 4.05 anos, de acordo com as medidas descritivas da </w:t>
      </w:r>
      <w:hyperlink w:anchor="tbl-desc-analysis-summary">
        <w:r>
          <w:rPr>
            <w:rStyle w:val="Hyperlink"/>
          </w:rPr>
          <w:t>Tabela 2</w:t>
        </w:r>
      </w:hyperlink>
      <w:r>
        <w:rPr/>
        <w:t>, No geral a distribuição da variável é bastante semelhante entre os dois grupos (</w:t>
      </w:r>
      <w:hyperlink w:anchor="fig-boxplot-cb-person-cred-hist-length">
        <w:r>
          <w:rPr>
            <w:rStyle w:val="Hyperlink"/>
          </w:rPr>
          <w:t>Figura 15</w:t>
        </w:r>
      </w:hyperlink>
      <w:r>
        <w:rPr/>
        <w:t>).</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widowControl/>
              <w:spacing w:before="36" w:after="36"/>
              <w:jc w:val="both"/>
              <w:rPr>
                <w:rFonts w:ascii="Aptos" w:hAnsi="Aptos" w:eastAsia="Aptos" w:cs=""/>
                <w:kern w:val="0"/>
                <w:sz w:val="24"/>
                <w:szCs w:val="24"/>
                <w:lang w:val="pt-BR" w:eastAsia="en-US" w:bidi="ar-SA"/>
              </w:rPr>
            </w:pPr>
            <w:bookmarkStart w:id="26" w:name="fig-boxplot-cb-person-cred-hist-length"/>
            <w:r>
              <w:rPr>
                <w:rFonts w:eastAsia="Aptos" w:cs=""/>
                <w:kern w:val="0"/>
                <w:sz w:val="24"/>
                <w:szCs w:val="24"/>
                <w:lang w:val="pt-BR" w:eastAsia="en-US" w:bidi="ar-SA"/>
              </w:rPr>
              <w:drawing>
                <wp:inline distT="0" distB="0" distL="0" distR="0">
                  <wp:extent cx="4620260" cy="3696335"/>
                  <wp:effectExtent l="0" t="0" r="0" b="0"/>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8"/>
                          <a:stretch>
                            <a:fillRect/>
                          </a:stretch>
                        </pic:blipFill>
                        <pic:spPr bwMode="auto">
                          <a:xfrm>
                            <a:off x="0" y="0"/>
                            <a:ext cx="4620260" cy="3696335"/>
                          </a:xfrm>
                          <a:prstGeom prst="rect">
                            <a:avLst/>
                          </a:prstGeom>
                          <a:noFill/>
                        </pic:spPr>
                      </pic:pic>
                    </a:graphicData>
                  </a:graphic>
                </wp:inline>
              </w:drawing>
            </w:r>
          </w:p>
          <w:p>
            <w:pPr>
              <w:pStyle w:val="ImageCaption"/>
              <w:widowControl/>
              <w:spacing w:before="200" w:after="120"/>
              <w:jc w:val="both"/>
              <w:rPr>
                <w:rFonts w:ascii="Aptos" w:hAnsi="Aptos" w:eastAsia="Aptos" w:cs=""/>
                <w:kern w:val="0"/>
                <w:sz w:val="24"/>
                <w:szCs w:val="24"/>
                <w:lang w:val="pt-BR" w:eastAsia="en-US" w:bidi="ar-SA"/>
              </w:rPr>
            </w:pPr>
            <w:r>
              <w:rPr>
                <w:rFonts w:eastAsia="Aptos" w:cs=""/>
                <w:kern w:val="0"/>
                <w:sz w:val="24"/>
                <w:szCs w:val="24"/>
                <w:lang w:val="pt-BR" w:eastAsia="en-US" w:bidi="ar-SA"/>
              </w:rPr>
              <w:t>Figura 15: Distribuição do histórico de crédito por situação de empréstimo</w:t>
            </w:r>
            <w:bookmarkEnd w:id="26"/>
          </w:p>
        </w:tc>
      </w:tr>
    </w:tbl>
    <w:p>
      <w:pPr>
        <w:pStyle w:val="BodyText"/>
        <w:jc w:val="both"/>
        <w:rPr/>
      </w:pPr>
      <w:r>
        <w:rPr/>
        <w:t xml:space="preserve">O histórico mais longo observado é de 30 anos. O histograma da </w:t>
      </w:r>
      <w:hyperlink w:anchor="fig-hist-cb-person-cred-hist-length">
        <w:r>
          <w:rPr>
            <w:rStyle w:val="Hyperlink"/>
          </w:rPr>
          <w:t>Figura 16</w:t>
        </w:r>
      </w:hyperlink>
      <w:r>
        <w:rPr/>
        <w:t xml:space="preserve"> mostra que a distribuição de frequências do histórico de crédito é monótona decrescente.</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widowControl/>
              <w:spacing w:before="36" w:after="36"/>
              <w:jc w:val="both"/>
              <w:rPr>
                <w:rFonts w:ascii="Aptos" w:hAnsi="Aptos" w:eastAsia="Aptos" w:cs=""/>
                <w:kern w:val="0"/>
                <w:sz w:val="24"/>
                <w:szCs w:val="24"/>
                <w:lang w:val="pt-BR" w:eastAsia="en-US" w:bidi="ar-SA"/>
              </w:rPr>
            </w:pPr>
            <w:bookmarkStart w:id="27" w:name="fig-hist-cb-person-cred-hist-length"/>
            <w:r>
              <w:rPr>
                <w:rFonts w:eastAsia="Aptos" w:cs=""/>
                <w:kern w:val="0"/>
                <w:sz w:val="24"/>
                <w:szCs w:val="24"/>
                <w:lang w:val="pt-BR" w:eastAsia="en-US" w:bidi="ar-SA"/>
              </w:rPr>
              <w:drawing>
                <wp:inline distT="0" distB="0" distL="0" distR="0">
                  <wp:extent cx="4620260" cy="3696335"/>
                  <wp:effectExtent l="0" t="0" r="0" b="0"/>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9"/>
                          <a:stretch>
                            <a:fillRect/>
                          </a:stretch>
                        </pic:blipFill>
                        <pic:spPr bwMode="auto">
                          <a:xfrm>
                            <a:off x="0" y="0"/>
                            <a:ext cx="4620260" cy="3696335"/>
                          </a:xfrm>
                          <a:prstGeom prst="rect">
                            <a:avLst/>
                          </a:prstGeom>
                          <a:noFill/>
                        </pic:spPr>
                      </pic:pic>
                    </a:graphicData>
                  </a:graphic>
                </wp:inline>
              </w:drawing>
            </w:r>
          </w:p>
          <w:p>
            <w:pPr>
              <w:pStyle w:val="ImageCaption"/>
              <w:widowControl/>
              <w:spacing w:before="200" w:after="120"/>
              <w:jc w:val="both"/>
              <w:rPr>
                <w:rFonts w:ascii="Aptos" w:hAnsi="Aptos" w:eastAsia="Aptos" w:cs=""/>
                <w:kern w:val="0"/>
                <w:sz w:val="24"/>
                <w:szCs w:val="24"/>
                <w:lang w:val="pt-BR" w:eastAsia="en-US" w:bidi="ar-SA"/>
              </w:rPr>
            </w:pPr>
            <w:r>
              <w:rPr>
                <w:rFonts w:eastAsia="Aptos" w:cs=""/>
                <w:kern w:val="0"/>
                <w:sz w:val="24"/>
                <w:szCs w:val="24"/>
                <w:lang w:val="pt-BR" w:eastAsia="en-US" w:bidi="ar-SA"/>
              </w:rPr>
              <w:t>Figura 16: Distribuição do histórico de crédito</w:t>
            </w:r>
            <w:bookmarkEnd w:id="27"/>
          </w:p>
        </w:tc>
      </w:tr>
    </w:tbl>
    <w:p>
      <w:pPr>
        <w:pStyle w:val="Heading3"/>
        <w:jc w:val="both"/>
        <w:rPr/>
      </w:pPr>
      <w:r>
        <w:rPr/>
        <w:t>Tipo de moradia</w:t>
      </w:r>
    </w:p>
    <w:p>
      <w:pPr>
        <w:pStyle w:val="FirstParagraph"/>
        <w:jc w:val="both"/>
        <w:rPr/>
      </w:pPr>
      <w:r>
        <w:rPr/>
        <w:t xml:space="preserve">De acordo com a </w:t>
      </w:r>
      <w:hyperlink w:anchor="fig-hbar-person-home-ownership">
        <w:r>
          <w:rPr>
            <w:rStyle w:val="Hyperlink"/>
          </w:rPr>
          <w:t>Figura 17</w:t>
        </w:r>
      </w:hyperlink>
      <w:r>
        <w:rPr/>
        <w:t>, os dois grupos que mais contratam empréstimos são as pessoas com casas alugadas e financiadas.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widowControl/>
              <w:spacing w:before="36" w:after="36"/>
              <w:jc w:val="both"/>
              <w:rPr>
                <w:rFonts w:ascii="Aptos" w:hAnsi="Aptos" w:eastAsia="Aptos" w:cs=""/>
                <w:kern w:val="0"/>
                <w:sz w:val="24"/>
                <w:szCs w:val="24"/>
                <w:lang w:val="pt-BR" w:eastAsia="en-US" w:bidi="ar-SA"/>
              </w:rPr>
            </w:pPr>
            <w:bookmarkStart w:id="28" w:name="fig-hbar-person-home-ownership"/>
            <w:r>
              <w:rPr>
                <w:rFonts w:eastAsia="Aptos" w:cs=""/>
                <w:kern w:val="0"/>
                <w:sz w:val="24"/>
                <w:szCs w:val="24"/>
                <w:lang w:val="pt-BR" w:eastAsia="en-US" w:bidi="ar-SA"/>
              </w:rPr>
              <w:drawing>
                <wp:inline distT="0" distB="0" distL="0" distR="0">
                  <wp:extent cx="4620260" cy="3696335"/>
                  <wp:effectExtent l="0" t="0" r="0" b="0"/>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20"/>
                          <a:stretch>
                            <a:fillRect/>
                          </a:stretch>
                        </pic:blipFill>
                        <pic:spPr bwMode="auto">
                          <a:xfrm>
                            <a:off x="0" y="0"/>
                            <a:ext cx="4620260" cy="3696335"/>
                          </a:xfrm>
                          <a:prstGeom prst="rect">
                            <a:avLst/>
                          </a:prstGeom>
                          <a:noFill/>
                        </pic:spPr>
                      </pic:pic>
                    </a:graphicData>
                  </a:graphic>
                </wp:inline>
              </w:drawing>
            </w:r>
          </w:p>
          <w:p>
            <w:pPr>
              <w:pStyle w:val="ImageCaption"/>
              <w:widowControl/>
              <w:spacing w:before="200" w:after="120"/>
              <w:jc w:val="both"/>
              <w:rPr>
                <w:rFonts w:ascii="Aptos" w:hAnsi="Aptos" w:eastAsia="Aptos" w:cs=""/>
                <w:kern w:val="0"/>
                <w:sz w:val="24"/>
                <w:szCs w:val="24"/>
                <w:lang w:val="pt-BR" w:eastAsia="en-US" w:bidi="ar-SA"/>
              </w:rPr>
            </w:pPr>
            <w:r>
              <w:rPr>
                <w:rFonts w:eastAsia="Aptos" w:cs=""/>
                <w:kern w:val="0"/>
                <w:sz w:val="24"/>
                <w:szCs w:val="24"/>
                <w:lang w:val="pt-BR" w:eastAsia="en-US" w:bidi="ar-SA"/>
              </w:rPr>
              <w:t>Figura 17: Distribuição do tipo de moradia</w:t>
            </w:r>
            <w:bookmarkEnd w:id="28"/>
          </w:p>
        </w:tc>
      </w:tr>
    </w:tbl>
    <w:p>
      <w:pPr>
        <w:pStyle w:val="BodyText"/>
        <w:jc w:val="both"/>
        <w:rPr/>
      </w:pPr>
      <w:r>
        <w:rPr/>
        <w:t xml:space="preserve">Se observamos a distribuição conjunta da situação do empréstimo de acordo com o tipo de moradia, descrito na </w:t>
      </w:r>
      <w:hyperlink w:anchor="tbl-dblentry-person-home-owner-ship">
        <w:r>
          <w:rPr>
            <w:rStyle w:val="Hyperlink"/>
          </w:rPr>
          <w:t>Tabela 3</w:t>
        </w:r>
      </w:hyperlink>
      <w:r>
        <w:rPr/>
        <w:t>, notamos que o percentual de inadimplentes dentro do grupo dos que possuem possuem imóvel alugado é mais do que 4x o percentual de inadimplentes do grupo que possui moradia própria. Também é constatado diferenças expressivas entre os demais grupos de moradia. Este é um bom indicativo de que existe uma relação concreta entre o tipo de moradia e a variável resposta situação do empréstimo.</w:t>
      </w:r>
    </w:p>
    <w:tbl>
      <w:tblPr>
        <w:tblW w:w="5000" w:type="pct"/>
        <w:jc w:val="left"/>
        <w:tblInd w:w="108" w:type="dxa"/>
        <w:tblLayout w:type="fixed"/>
        <w:tblCellMar>
          <w:top w:w="0" w:type="dxa"/>
          <w:left w:w="108" w:type="dxa"/>
          <w:bottom w:w="0" w:type="dxa"/>
          <w:right w:w="108" w:type="dxa"/>
        </w:tblCellMar>
      </w:tblPr>
      <w:tblGrid>
        <w:gridCol w:w="9360"/>
      </w:tblGrid>
      <w:tr>
        <w:trPr/>
        <w:tc>
          <w:tcPr>
            <w:tcW w:w="9360" w:type="dxa"/>
            <w:tcBorders/>
          </w:tcPr>
          <w:p>
            <w:pPr>
              <w:pStyle w:val="ImageCaption"/>
              <w:spacing w:before="200" w:after="120"/>
              <w:jc w:val="both"/>
              <w:rPr/>
            </w:pPr>
            <w:r>
              <w:rPr/>
              <w:t>Tabela 3: Distribuição conjunta das proporções da situação de empréstimo conforme o tipo de moradia do tomador</w:t>
            </w:r>
          </w:p>
        </w:tc>
      </w:tr>
    </w:tbl>
    <w:tbl>
      <w:tblPr>
        <w:tblW w:w="5000" w:type="pct"/>
        <w:jc w:val="center"/>
        <w:tblInd w:w="0" w:type="dxa"/>
        <w:tblLayout w:type="fixed"/>
        <w:tblCellMar>
          <w:top w:w="0" w:type="dxa"/>
          <w:left w:w="60" w:type="dxa"/>
          <w:bottom w:w="0" w:type="dxa"/>
          <w:right w:w="60" w:type="dxa"/>
        </w:tblCellMar>
        <w:tblLook w:noHBand="0" w:noVBand="0" w:firstColumn="0" w:lastRow="0" w:lastColumn="0" w:firstRow="0" w:val="0000"/>
      </w:tblPr>
      <w:tblGrid>
        <w:gridCol w:w="2339"/>
        <w:gridCol w:w="2340"/>
        <w:gridCol w:w="2340"/>
        <w:gridCol w:w="2341"/>
      </w:tblGrid>
      <w:tr>
        <w:trPr>
          <w:tblHeader w:val="true"/>
          <w:cantSplit/>
        </w:trPr>
        <w:tc>
          <w:tcPr>
            <w:tcW w:w="2339" w:type="dxa"/>
            <w:vMerge w:val="restart"/>
            <w:tcBorders>
              <w:top w:val="single" w:sz="16" w:space="0" w:color="D3D3D3"/>
              <w:left w:val="single" w:sz="6" w:space="0" w:color="D3D3D3"/>
              <w:bottom w:val="single" w:sz="16" w:space="0" w:color="D3D3D3"/>
              <w:right w:val="single" w:sz="6" w:space="0" w:color="D3D3D3"/>
            </w:tcBorders>
            <w:vAlign w:val="bottom"/>
          </w:tcPr>
          <w:p>
            <w:pPr>
              <w:pStyle w:val="Normal"/>
              <w:keepNext w:val="true"/>
              <w:spacing w:before="0" w:after="60"/>
              <w:jc w:val="both"/>
              <w:rPr/>
            </w:pPr>
            <w:r>
              <w:rPr>
                <w:rFonts w:ascii="Calibri" w:hAnsi="Calibri"/>
                <w:sz w:val="20"/>
              </w:rPr>
              <w:t>Tipo de moradia</w:t>
            </w:r>
          </w:p>
        </w:tc>
        <w:tc>
          <w:tcPr>
            <w:tcW w:w="7021" w:type="dxa"/>
            <w:gridSpan w:val="3"/>
            <w:tcBorders>
              <w:top w:val="single" w:sz="16" w:space="0" w:color="D3D3D3"/>
              <w:left w:val="single" w:sz="6" w:space="0" w:color="D3D3D3"/>
              <w:bottom w:val="single" w:sz="16" w:space="0" w:color="D3D3D3"/>
              <w:right w:val="single" w:sz="6" w:space="0" w:color="D3D3D3"/>
            </w:tcBorders>
          </w:tcPr>
          <w:p>
            <w:pPr>
              <w:pStyle w:val="Normal"/>
              <w:keepNext w:val="true"/>
              <w:spacing w:before="0" w:after="60"/>
              <w:jc w:val="both"/>
              <w:rPr/>
            </w:pPr>
            <w:r>
              <w:rPr>
                <w:rFonts w:ascii="Calibri" w:hAnsi="Calibri"/>
                <w:sz w:val="20"/>
              </w:rPr>
              <w:t>Situação do empréstimo (%)</w:t>
            </w:r>
          </w:p>
        </w:tc>
      </w:tr>
      <w:tr>
        <w:trPr>
          <w:tblHeader w:val="true"/>
          <w:cantSplit/>
        </w:trPr>
        <w:tc>
          <w:tcPr>
            <w:tcW w:w="2339" w:type="dxa"/>
            <w:vMerge w:val="continue"/>
            <w:tcBorders>
              <w:left w:val="single" w:sz="6" w:space="0" w:color="D3D3D3"/>
              <w:bottom w:val="single" w:sz="16" w:space="0" w:color="D3D3D3"/>
              <w:right w:val="single" w:sz="6" w:space="0" w:color="D3D3D3"/>
            </w:tcBorders>
          </w:tcPr>
          <w:p>
            <w:pPr>
              <w:pStyle w:val="Normal"/>
              <w:keepNext w:val="true"/>
              <w:spacing w:before="0" w:after="60"/>
              <w:jc w:val="both"/>
              <w:rPr/>
            </w:pPr>
            <w:r>
              <w:rPr/>
            </w:r>
          </w:p>
        </w:tc>
        <w:tc>
          <w:tcPr>
            <w:tcW w:w="2340" w:type="dxa"/>
            <w:tcBorders>
              <w:left w:val="single" w:sz="6" w:space="0" w:color="D3D3D3"/>
              <w:bottom w:val="single" w:sz="16" w:space="0" w:color="D3D3D3"/>
            </w:tcBorders>
          </w:tcPr>
          <w:p>
            <w:pPr>
              <w:pStyle w:val="Normal"/>
              <w:keepNext w:val="true"/>
              <w:spacing w:before="0" w:after="60"/>
              <w:jc w:val="both"/>
              <w:rPr/>
            </w:pPr>
            <w:r>
              <w:rPr>
                <w:rFonts w:ascii="Calibri" w:hAnsi="Calibri"/>
                <w:sz w:val="20"/>
              </w:rPr>
              <w:t>Adimplente</w:t>
            </w:r>
          </w:p>
        </w:tc>
        <w:tc>
          <w:tcPr>
            <w:tcW w:w="2340" w:type="dxa"/>
            <w:tcBorders>
              <w:bottom w:val="single" w:sz="16" w:space="0" w:color="D3D3D3"/>
            </w:tcBorders>
          </w:tcPr>
          <w:p>
            <w:pPr>
              <w:pStyle w:val="Normal"/>
              <w:keepNext w:val="true"/>
              <w:spacing w:before="0" w:after="60"/>
              <w:jc w:val="both"/>
              <w:rPr/>
            </w:pPr>
            <w:r>
              <w:rPr>
                <w:rFonts w:ascii="Calibri" w:hAnsi="Calibri"/>
                <w:sz w:val="20"/>
              </w:rPr>
              <w:t>Inadimplente</w:t>
            </w:r>
          </w:p>
        </w:tc>
        <w:tc>
          <w:tcPr>
            <w:tcW w:w="2341" w:type="dxa"/>
            <w:tcBorders>
              <w:bottom w:val="single" w:sz="16" w:space="0" w:color="D3D3D3"/>
              <w:right w:val="single" w:sz="6" w:space="0" w:color="D3D3D3"/>
            </w:tcBorders>
          </w:tcPr>
          <w:p>
            <w:pPr>
              <w:pStyle w:val="Normal"/>
              <w:keepNext w:val="true"/>
              <w:spacing w:before="0" w:after="60"/>
              <w:jc w:val="both"/>
              <w:rPr/>
            </w:pPr>
            <w:r>
              <w:rPr>
                <w:rFonts w:ascii="Calibri" w:hAnsi="Calibri"/>
                <w:sz w:val="20"/>
              </w:rPr>
              <w:t>Total</w:t>
            </w:r>
          </w:p>
        </w:tc>
      </w:tr>
      <w:tr>
        <w:trPr>
          <w:cantSplit/>
        </w:trPr>
        <w:tc>
          <w:tcPr>
            <w:tcW w:w="2339"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Alugada</w:t>
            </w:r>
          </w:p>
        </w:tc>
        <w:tc>
          <w:tcPr>
            <w:tcW w:w="23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68.43</w:t>
            </w:r>
          </w:p>
        </w:tc>
        <w:tc>
          <w:tcPr>
            <w:tcW w:w="23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31.57</w:t>
            </w:r>
          </w:p>
        </w:tc>
        <w:tc>
          <w:tcPr>
            <w:tcW w:w="2341"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100</w:t>
            </w:r>
          </w:p>
        </w:tc>
      </w:tr>
      <w:tr>
        <w:trPr>
          <w:cantSplit/>
        </w:trPr>
        <w:tc>
          <w:tcPr>
            <w:tcW w:w="2339"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Financiada</w:t>
            </w:r>
          </w:p>
        </w:tc>
        <w:tc>
          <w:tcPr>
            <w:tcW w:w="23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87.43</w:t>
            </w:r>
          </w:p>
        </w:tc>
        <w:tc>
          <w:tcPr>
            <w:tcW w:w="23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12.57</w:t>
            </w:r>
          </w:p>
        </w:tc>
        <w:tc>
          <w:tcPr>
            <w:tcW w:w="2341"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100</w:t>
            </w:r>
          </w:p>
        </w:tc>
      </w:tr>
      <w:tr>
        <w:trPr>
          <w:cantSplit/>
        </w:trPr>
        <w:tc>
          <w:tcPr>
            <w:tcW w:w="2339"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Própria</w:t>
            </w:r>
          </w:p>
        </w:tc>
        <w:tc>
          <w:tcPr>
            <w:tcW w:w="23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92.53</w:t>
            </w:r>
          </w:p>
        </w:tc>
        <w:tc>
          <w:tcPr>
            <w:tcW w:w="23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7.47</w:t>
            </w:r>
          </w:p>
        </w:tc>
        <w:tc>
          <w:tcPr>
            <w:tcW w:w="2341"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100</w:t>
            </w:r>
          </w:p>
        </w:tc>
      </w:tr>
      <w:tr>
        <w:trPr>
          <w:cantSplit/>
        </w:trPr>
        <w:tc>
          <w:tcPr>
            <w:tcW w:w="2339"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Outro</w:t>
            </w:r>
          </w:p>
        </w:tc>
        <w:tc>
          <w:tcPr>
            <w:tcW w:w="23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69.16</w:t>
            </w:r>
          </w:p>
        </w:tc>
        <w:tc>
          <w:tcPr>
            <w:tcW w:w="23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30.84</w:t>
            </w:r>
          </w:p>
        </w:tc>
        <w:tc>
          <w:tcPr>
            <w:tcW w:w="2341"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100</w:t>
            </w:r>
          </w:p>
        </w:tc>
      </w:tr>
      <w:tr>
        <w:trPr>
          <w:cantSplit/>
        </w:trPr>
        <w:tc>
          <w:tcPr>
            <w:tcW w:w="9360" w:type="dxa"/>
            <w:gridSpan w:val="4"/>
            <w:tcBorders/>
          </w:tcPr>
          <w:p>
            <w:pPr>
              <w:pStyle w:val="Normal"/>
              <w:keepNext w:val="true"/>
              <w:spacing w:before="0" w:after="60"/>
              <w:jc w:val="both"/>
              <w:rPr/>
            </w:pPr>
            <w:r>
              <w:rPr>
                <w:rFonts w:ascii="Calibri" w:hAnsi="Calibri"/>
                <w:b/>
                <w:sz w:val="20"/>
              </w:rPr>
              <w:t>Fonte</w:t>
            </w:r>
            <w:r>
              <w:rPr>
                <w:rFonts w:ascii="Calibri" w:hAnsi="Calibri"/>
                <w:sz w:val="20"/>
              </w:rPr>
              <w:t>: base de dados.</w:t>
            </w:r>
            <w:bookmarkStart w:id="29" w:name="tbl-dblentry-person-home-owner-ship"/>
            <w:bookmarkEnd w:id="29"/>
          </w:p>
        </w:tc>
      </w:tr>
    </w:tbl>
    <w:p>
      <w:pPr>
        <w:pStyle w:val="Heading3"/>
        <w:jc w:val="both"/>
        <w:rPr/>
      </w:pPr>
      <w:r>
        <w:rPr/>
        <w:t>Finalidade do empréstimo</w:t>
      </w:r>
    </w:p>
    <w:p>
      <w:pPr>
        <w:pStyle w:val="FirstParagraph"/>
        <w:jc w:val="both"/>
        <w:rPr/>
      </w:pPr>
      <w:r>
        <w:rPr/>
        <w:t xml:space="preserve">Em termos de destinação dos recursos, segundo a </w:t>
      </w:r>
      <w:hyperlink w:anchor="fig-hbar-loan-intent">
        <w:r>
          <w:rPr>
            <w:rStyle w:val="Hyperlink"/>
          </w:rPr>
          <w:t>Figura 18</w:t>
        </w:r>
      </w:hyperlink>
      <w:r>
        <w:rPr/>
        <w:t>, o top 3 é composto por investimentos em educação seguido por despesas médicas e empreendimento.</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widowControl/>
              <w:spacing w:before="36" w:after="36"/>
              <w:jc w:val="both"/>
              <w:rPr>
                <w:rFonts w:ascii="Aptos" w:hAnsi="Aptos" w:eastAsia="Aptos" w:cs=""/>
                <w:kern w:val="0"/>
                <w:sz w:val="24"/>
                <w:szCs w:val="24"/>
                <w:lang w:val="pt-BR" w:eastAsia="en-US" w:bidi="ar-SA"/>
              </w:rPr>
            </w:pPr>
            <w:bookmarkStart w:id="30" w:name="fig-hbar-loan-intent"/>
            <w:r>
              <w:rPr>
                <w:rFonts w:eastAsia="Aptos" w:cs=""/>
                <w:kern w:val="0"/>
                <w:sz w:val="24"/>
                <w:szCs w:val="24"/>
                <w:lang w:val="pt-BR" w:eastAsia="en-US" w:bidi="ar-SA"/>
              </w:rPr>
              <w:drawing>
                <wp:inline distT="0" distB="0" distL="0" distR="0">
                  <wp:extent cx="4620260" cy="3696335"/>
                  <wp:effectExtent l="0" t="0" r="0" b="0"/>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1"/>
                          <a:stretch>
                            <a:fillRect/>
                          </a:stretch>
                        </pic:blipFill>
                        <pic:spPr bwMode="auto">
                          <a:xfrm>
                            <a:off x="0" y="0"/>
                            <a:ext cx="4620260" cy="3696335"/>
                          </a:xfrm>
                          <a:prstGeom prst="rect">
                            <a:avLst/>
                          </a:prstGeom>
                          <a:noFill/>
                        </pic:spPr>
                      </pic:pic>
                    </a:graphicData>
                  </a:graphic>
                </wp:inline>
              </w:drawing>
            </w:r>
          </w:p>
          <w:p>
            <w:pPr>
              <w:pStyle w:val="ImageCaption"/>
              <w:widowControl/>
              <w:spacing w:before="200" w:after="120"/>
              <w:jc w:val="both"/>
              <w:rPr>
                <w:rFonts w:ascii="Aptos" w:hAnsi="Aptos" w:eastAsia="Aptos" w:cs=""/>
                <w:kern w:val="0"/>
                <w:sz w:val="24"/>
                <w:szCs w:val="24"/>
                <w:lang w:val="pt-BR" w:eastAsia="en-US" w:bidi="ar-SA"/>
              </w:rPr>
            </w:pPr>
            <w:r>
              <w:rPr>
                <w:rFonts w:eastAsia="Aptos" w:cs=""/>
                <w:kern w:val="0"/>
                <w:sz w:val="24"/>
                <w:szCs w:val="24"/>
                <w:lang w:val="pt-BR" w:eastAsia="en-US" w:bidi="ar-SA"/>
              </w:rPr>
              <w:t>Figura 18: Distribuição da finalidade do empréstimo</w:t>
            </w:r>
            <w:bookmarkEnd w:id="30"/>
          </w:p>
        </w:tc>
      </w:tr>
    </w:tbl>
    <w:p>
      <w:pPr>
        <w:pStyle w:val="BodyText"/>
        <w:jc w:val="both"/>
        <w:rPr/>
      </w:pPr>
      <w:r>
        <w:rPr/>
        <w:t xml:space="preserve">Conforme descrito pela </w:t>
      </w:r>
      <w:hyperlink w:anchor="tbl-dblentry-loan-intent">
        <w:r>
          <w:rPr>
            <w:rStyle w:val="Hyperlink"/>
          </w:rPr>
          <w:t>Tabela 4</w:t>
        </w:r>
      </w:hyperlink>
      <w:r>
        <w:rPr/>
        <w:t>, a proporção de inadimplentes é maior em empréstimos tomados com a finalidade de quitação de dívidas, reforma imobiliária e despesas médicas.</w:t>
      </w:r>
    </w:p>
    <w:tbl>
      <w:tblPr>
        <w:tblW w:w="5000" w:type="pct"/>
        <w:jc w:val="left"/>
        <w:tblInd w:w="108" w:type="dxa"/>
        <w:tblLayout w:type="fixed"/>
        <w:tblCellMar>
          <w:top w:w="0" w:type="dxa"/>
          <w:left w:w="108" w:type="dxa"/>
          <w:bottom w:w="0" w:type="dxa"/>
          <w:right w:w="108" w:type="dxa"/>
        </w:tblCellMar>
      </w:tblPr>
      <w:tblGrid>
        <w:gridCol w:w="9360"/>
      </w:tblGrid>
      <w:tr>
        <w:trPr/>
        <w:tc>
          <w:tcPr>
            <w:tcW w:w="9360" w:type="dxa"/>
            <w:tcBorders/>
          </w:tcPr>
          <w:p>
            <w:pPr>
              <w:pStyle w:val="ImageCaption"/>
              <w:spacing w:before="200" w:after="120"/>
              <w:jc w:val="both"/>
              <w:rPr/>
            </w:pPr>
            <w:r>
              <w:rPr/>
              <w:t>Tabela 4: Distribuição conjunta das proporções da situação de empréstimo conforme a finalidade</w:t>
            </w:r>
          </w:p>
        </w:tc>
      </w:tr>
    </w:tbl>
    <w:tbl>
      <w:tblPr>
        <w:tblW w:w="5000" w:type="pct"/>
        <w:jc w:val="center"/>
        <w:tblInd w:w="0" w:type="dxa"/>
        <w:tblLayout w:type="fixed"/>
        <w:tblCellMar>
          <w:top w:w="0" w:type="dxa"/>
          <w:left w:w="60" w:type="dxa"/>
          <w:bottom w:w="0" w:type="dxa"/>
          <w:right w:w="60" w:type="dxa"/>
        </w:tblCellMar>
        <w:tblLook w:noHBand="0" w:noVBand="0" w:firstColumn="0" w:lastRow="0" w:lastColumn="0" w:firstRow="0" w:val="0000"/>
      </w:tblPr>
      <w:tblGrid>
        <w:gridCol w:w="2339"/>
        <w:gridCol w:w="2340"/>
        <w:gridCol w:w="2340"/>
        <w:gridCol w:w="2341"/>
      </w:tblGrid>
      <w:tr>
        <w:trPr>
          <w:tblHeader w:val="true"/>
          <w:cantSplit/>
        </w:trPr>
        <w:tc>
          <w:tcPr>
            <w:tcW w:w="2339" w:type="dxa"/>
            <w:vMerge w:val="restart"/>
            <w:tcBorders>
              <w:top w:val="single" w:sz="16" w:space="0" w:color="D3D3D3"/>
              <w:left w:val="single" w:sz="6" w:space="0" w:color="D3D3D3"/>
              <w:bottom w:val="single" w:sz="16" w:space="0" w:color="D3D3D3"/>
              <w:right w:val="single" w:sz="6" w:space="0" w:color="D3D3D3"/>
            </w:tcBorders>
            <w:vAlign w:val="bottom"/>
          </w:tcPr>
          <w:p>
            <w:pPr>
              <w:pStyle w:val="Normal"/>
              <w:keepNext w:val="true"/>
              <w:spacing w:before="0" w:after="60"/>
              <w:jc w:val="both"/>
              <w:rPr/>
            </w:pPr>
            <w:r>
              <w:rPr>
                <w:rFonts w:ascii="Calibri" w:hAnsi="Calibri"/>
                <w:sz w:val="20"/>
              </w:rPr>
              <w:t>Finalidade</w:t>
            </w:r>
          </w:p>
        </w:tc>
        <w:tc>
          <w:tcPr>
            <w:tcW w:w="7021" w:type="dxa"/>
            <w:gridSpan w:val="3"/>
            <w:tcBorders>
              <w:top w:val="single" w:sz="16" w:space="0" w:color="D3D3D3"/>
              <w:left w:val="single" w:sz="6" w:space="0" w:color="D3D3D3"/>
              <w:bottom w:val="single" w:sz="16" w:space="0" w:color="D3D3D3"/>
              <w:right w:val="single" w:sz="6" w:space="0" w:color="D3D3D3"/>
            </w:tcBorders>
          </w:tcPr>
          <w:p>
            <w:pPr>
              <w:pStyle w:val="Normal"/>
              <w:keepNext w:val="true"/>
              <w:spacing w:before="0" w:after="60"/>
              <w:jc w:val="both"/>
              <w:rPr/>
            </w:pPr>
            <w:r>
              <w:rPr>
                <w:rFonts w:ascii="Calibri" w:hAnsi="Calibri"/>
                <w:sz w:val="20"/>
              </w:rPr>
              <w:t>Situação do empréstimo (%)</w:t>
            </w:r>
          </w:p>
        </w:tc>
      </w:tr>
      <w:tr>
        <w:trPr>
          <w:tblHeader w:val="true"/>
          <w:cantSplit/>
        </w:trPr>
        <w:tc>
          <w:tcPr>
            <w:tcW w:w="2339" w:type="dxa"/>
            <w:vMerge w:val="continue"/>
            <w:tcBorders>
              <w:left w:val="single" w:sz="6" w:space="0" w:color="D3D3D3"/>
              <w:bottom w:val="single" w:sz="16" w:space="0" w:color="D3D3D3"/>
              <w:right w:val="single" w:sz="6" w:space="0" w:color="D3D3D3"/>
            </w:tcBorders>
          </w:tcPr>
          <w:p>
            <w:pPr>
              <w:pStyle w:val="Normal"/>
              <w:keepNext w:val="true"/>
              <w:spacing w:before="0" w:after="60"/>
              <w:jc w:val="both"/>
              <w:rPr/>
            </w:pPr>
            <w:r>
              <w:rPr/>
            </w:r>
          </w:p>
        </w:tc>
        <w:tc>
          <w:tcPr>
            <w:tcW w:w="2340" w:type="dxa"/>
            <w:tcBorders>
              <w:left w:val="single" w:sz="6" w:space="0" w:color="D3D3D3"/>
              <w:bottom w:val="single" w:sz="16" w:space="0" w:color="D3D3D3"/>
            </w:tcBorders>
          </w:tcPr>
          <w:p>
            <w:pPr>
              <w:pStyle w:val="Normal"/>
              <w:keepNext w:val="true"/>
              <w:spacing w:before="0" w:after="60"/>
              <w:jc w:val="both"/>
              <w:rPr/>
            </w:pPr>
            <w:r>
              <w:rPr>
                <w:rFonts w:ascii="Calibri" w:hAnsi="Calibri"/>
                <w:sz w:val="20"/>
              </w:rPr>
              <w:t>Adimplente</w:t>
            </w:r>
          </w:p>
        </w:tc>
        <w:tc>
          <w:tcPr>
            <w:tcW w:w="2340" w:type="dxa"/>
            <w:tcBorders>
              <w:bottom w:val="single" w:sz="16" w:space="0" w:color="D3D3D3"/>
            </w:tcBorders>
          </w:tcPr>
          <w:p>
            <w:pPr>
              <w:pStyle w:val="Normal"/>
              <w:keepNext w:val="true"/>
              <w:spacing w:before="0" w:after="60"/>
              <w:jc w:val="both"/>
              <w:rPr/>
            </w:pPr>
            <w:r>
              <w:rPr>
                <w:rFonts w:ascii="Calibri" w:hAnsi="Calibri"/>
                <w:sz w:val="20"/>
              </w:rPr>
              <w:t>Inadimplente</w:t>
            </w:r>
          </w:p>
        </w:tc>
        <w:tc>
          <w:tcPr>
            <w:tcW w:w="2341" w:type="dxa"/>
            <w:tcBorders>
              <w:bottom w:val="single" w:sz="16" w:space="0" w:color="D3D3D3"/>
              <w:right w:val="single" w:sz="6" w:space="0" w:color="D3D3D3"/>
            </w:tcBorders>
          </w:tcPr>
          <w:p>
            <w:pPr>
              <w:pStyle w:val="Normal"/>
              <w:keepNext w:val="true"/>
              <w:spacing w:before="0" w:after="60"/>
              <w:jc w:val="both"/>
              <w:rPr/>
            </w:pPr>
            <w:r>
              <w:rPr>
                <w:rFonts w:ascii="Calibri" w:hAnsi="Calibri"/>
                <w:sz w:val="20"/>
              </w:rPr>
              <w:t>Total</w:t>
            </w:r>
          </w:p>
        </w:tc>
      </w:tr>
      <w:tr>
        <w:trPr>
          <w:cantSplit/>
        </w:trPr>
        <w:tc>
          <w:tcPr>
            <w:tcW w:w="2339"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Consolidação de dívidas</w:t>
            </w:r>
          </w:p>
        </w:tc>
        <w:tc>
          <w:tcPr>
            <w:tcW w:w="23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71.41</w:t>
            </w:r>
          </w:p>
        </w:tc>
        <w:tc>
          <w:tcPr>
            <w:tcW w:w="23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28.59</w:t>
            </w:r>
          </w:p>
        </w:tc>
        <w:tc>
          <w:tcPr>
            <w:tcW w:w="2341"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100</w:t>
            </w:r>
          </w:p>
        </w:tc>
      </w:tr>
      <w:tr>
        <w:trPr>
          <w:cantSplit/>
        </w:trPr>
        <w:tc>
          <w:tcPr>
            <w:tcW w:w="2339"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Educação</w:t>
            </w:r>
          </w:p>
        </w:tc>
        <w:tc>
          <w:tcPr>
            <w:tcW w:w="23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82.78</w:t>
            </w:r>
          </w:p>
        </w:tc>
        <w:tc>
          <w:tcPr>
            <w:tcW w:w="23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17.22</w:t>
            </w:r>
          </w:p>
        </w:tc>
        <w:tc>
          <w:tcPr>
            <w:tcW w:w="2341"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100</w:t>
            </w:r>
          </w:p>
        </w:tc>
      </w:tr>
      <w:tr>
        <w:trPr>
          <w:cantSplit/>
        </w:trPr>
        <w:tc>
          <w:tcPr>
            <w:tcW w:w="2339"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Reforma imobiliária</w:t>
            </w:r>
          </w:p>
        </w:tc>
        <w:tc>
          <w:tcPr>
            <w:tcW w:w="23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73.90</w:t>
            </w:r>
          </w:p>
        </w:tc>
        <w:tc>
          <w:tcPr>
            <w:tcW w:w="23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26.10</w:t>
            </w:r>
          </w:p>
        </w:tc>
        <w:tc>
          <w:tcPr>
            <w:tcW w:w="2341"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100</w:t>
            </w:r>
          </w:p>
        </w:tc>
      </w:tr>
      <w:tr>
        <w:trPr>
          <w:cantSplit/>
        </w:trPr>
        <w:tc>
          <w:tcPr>
            <w:tcW w:w="2339"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Saúde</w:t>
            </w:r>
          </w:p>
        </w:tc>
        <w:tc>
          <w:tcPr>
            <w:tcW w:w="23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73.29</w:t>
            </w:r>
          </w:p>
        </w:tc>
        <w:tc>
          <w:tcPr>
            <w:tcW w:w="23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26.71</w:t>
            </w:r>
          </w:p>
        </w:tc>
        <w:tc>
          <w:tcPr>
            <w:tcW w:w="2341"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100</w:t>
            </w:r>
          </w:p>
        </w:tc>
      </w:tr>
      <w:tr>
        <w:trPr>
          <w:cantSplit/>
        </w:trPr>
        <w:tc>
          <w:tcPr>
            <w:tcW w:w="2339"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Uso pessoal</w:t>
            </w:r>
          </w:p>
        </w:tc>
        <w:tc>
          <w:tcPr>
            <w:tcW w:w="23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80.12</w:t>
            </w:r>
          </w:p>
        </w:tc>
        <w:tc>
          <w:tcPr>
            <w:tcW w:w="23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19.88</w:t>
            </w:r>
          </w:p>
        </w:tc>
        <w:tc>
          <w:tcPr>
            <w:tcW w:w="2341"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100</w:t>
            </w:r>
          </w:p>
        </w:tc>
      </w:tr>
      <w:tr>
        <w:trPr>
          <w:cantSplit/>
        </w:trPr>
        <w:tc>
          <w:tcPr>
            <w:tcW w:w="2339"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Empreendimento</w:t>
            </w:r>
          </w:p>
        </w:tc>
        <w:tc>
          <w:tcPr>
            <w:tcW w:w="23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85.18</w:t>
            </w:r>
          </w:p>
        </w:tc>
        <w:tc>
          <w:tcPr>
            <w:tcW w:w="23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14.82</w:t>
            </w:r>
          </w:p>
        </w:tc>
        <w:tc>
          <w:tcPr>
            <w:tcW w:w="2341"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100</w:t>
            </w:r>
          </w:p>
        </w:tc>
      </w:tr>
      <w:tr>
        <w:trPr>
          <w:cantSplit/>
        </w:trPr>
        <w:tc>
          <w:tcPr>
            <w:tcW w:w="9360" w:type="dxa"/>
            <w:gridSpan w:val="4"/>
            <w:tcBorders/>
          </w:tcPr>
          <w:p>
            <w:pPr>
              <w:pStyle w:val="Normal"/>
              <w:keepNext w:val="true"/>
              <w:spacing w:before="0" w:after="60"/>
              <w:jc w:val="both"/>
              <w:rPr/>
            </w:pPr>
            <w:r>
              <w:rPr>
                <w:rFonts w:ascii="Calibri" w:hAnsi="Calibri"/>
                <w:b/>
                <w:sz w:val="20"/>
              </w:rPr>
              <w:t>Fonte</w:t>
            </w:r>
            <w:r>
              <w:rPr>
                <w:rFonts w:ascii="Calibri" w:hAnsi="Calibri"/>
                <w:sz w:val="20"/>
              </w:rPr>
              <w:t>: base de dados.</w:t>
            </w:r>
            <w:bookmarkStart w:id="31" w:name="tbl-dblentry-loan-intent"/>
            <w:bookmarkEnd w:id="31"/>
          </w:p>
        </w:tc>
      </w:tr>
    </w:tbl>
    <w:p>
      <w:pPr>
        <w:pStyle w:val="Heading3"/>
        <w:jc w:val="both"/>
        <w:rPr/>
      </w:pPr>
      <w:r>
        <w:rPr/>
        <w:t>Classificação de risco</w:t>
      </w:r>
    </w:p>
    <w:p>
      <w:pPr>
        <w:pStyle w:val="FirstParagraph"/>
        <w:jc w:val="both"/>
        <w:rPr/>
      </w:pPr>
      <w:r>
        <w:rPr/>
        <w:t>A distribuição das contratações por grau de risco (</w:t>
      </w:r>
      <w:hyperlink w:anchor="fig-hbar-loan-grade">
        <w:r>
          <w:rPr>
            <w:rStyle w:val="Hyperlink"/>
          </w:rPr>
          <w:t>Figura 19</w:t>
        </w:r>
      </w:hyperlink>
      <w:r>
        <w:rPr/>
        <w:t>) evidencia um comportamento esperado no mercado de crédito: o volume de operações concedidas decresce monotonicamente à medida que o risco de inadimplência atribuído ao tomador se eleva.</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widowControl/>
              <w:spacing w:before="36" w:after="36"/>
              <w:jc w:val="both"/>
              <w:rPr>
                <w:rFonts w:ascii="Aptos" w:hAnsi="Aptos" w:eastAsia="Aptos" w:cs=""/>
                <w:kern w:val="0"/>
                <w:sz w:val="24"/>
                <w:szCs w:val="24"/>
                <w:lang w:val="pt-BR" w:eastAsia="en-US" w:bidi="ar-SA"/>
              </w:rPr>
            </w:pPr>
            <w:bookmarkStart w:id="32" w:name="fig-hbar-loan-grade"/>
            <w:r>
              <w:rPr>
                <w:rFonts w:eastAsia="Aptos" w:cs=""/>
                <w:kern w:val="0"/>
                <w:sz w:val="24"/>
                <w:szCs w:val="24"/>
                <w:lang w:val="pt-BR" w:eastAsia="en-US" w:bidi="ar-SA"/>
              </w:rPr>
              <w:drawing>
                <wp:inline distT="0" distB="0" distL="0" distR="0">
                  <wp:extent cx="4620260" cy="3696335"/>
                  <wp:effectExtent l="0" t="0" r="0" b="0"/>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2"/>
                          <a:stretch>
                            <a:fillRect/>
                          </a:stretch>
                        </pic:blipFill>
                        <pic:spPr bwMode="auto">
                          <a:xfrm>
                            <a:off x="0" y="0"/>
                            <a:ext cx="4620260" cy="3696335"/>
                          </a:xfrm>
                          <a:prstGeom prst="rect">
                            <a:avLst/>
                          </a:prstGeom>
                          <a:noFill/>
                        </pic:spPr>
                      </pic:pic>
                    </a:graphicData>
                  </a:graphic>
                </wp:inline>
              </w:drawing>
            </w:r>
          </w:p>
          <w:p>
            <w:pPr>
              <w:pStyle w:val="ImageCaption"/>
              <w:widowControl/>
              <w:spacing w:before="200" w:after="120"/>
              <w:jc w:val="both"/>
              <w:rPr>
                <w:rFonts w:ascii="Aptos" w:hAnsi="Aptos" w:eastAsia="Aptos" w:cs=""/>
                <w:kern w:val="0"/>
                <w:sz w:val="24"/>
                <w:szCs w:val="24"/>
                <w:lang w:val="pt-BR" w:eastAsia="en-US" w:bidi="ar-SA"/>
              </w:rPr>
            </w:pPr>
            <w:r>
              <w:rPr>
                <w:rFonts w:eastAsia="Aptos" w:cs=""/>
                <w:kern w:val="0"/>
                <w:sz w:val="24"/>
                <w:szCs w:val="24"/>
                <w:lang w:val="pt-BR" w:eastAsia="en-US" w:bidi="ar-SA"/>
              </w:rPr>
              <w:t>Figura 19: Distribuição da classificação de risco</w:t>
            </w:r>
            <w:bookmarkEnd w:id="32"/>
          </w:p>
        </w:tc>
      </w:tr>
    </w:tbl>
    <w:p>
      <w:pPr>
        <w:pStyle w:val="BodyText"/>
        <w:jc w:val="both"/>
        <w:rPr/>
      </w:pPr>
      <w:r>
        <w:rPr/>
        <w:t xml:space="preserve">Como esperado para uma régua de classificação de crédito, observa-se na </w:t>
      </w:r>
      <w:hyperlink w:anchor="tbl-dblentry-loan_grade">
        <w:r>
          <w:rPr>
            <w:rStyle w:val="Hyperlink"/>
          </w:rPr>
          <w:t>Tabela 5</w:t>
        </w:r>
      </w:hyperlink>
      <w:r>
        <w:rPr/>
        <w:t xml:space="preserve"> uma relação direta entre o grau de risco e a taxa de inadimplência. Esse padrão confirma a elevada capacidade discriminatória da variável para a modelagem do risco de crédito.</w:t>
      </w:r>
    </w:p>
    <w:tbl>
      <w:tblPr>
        <w:tblW w:w="5000" w:type="pct"/>
        <w:jc w:val="left"/>
        <w:tblInd w:w="108" w:type="dxa"/>
        <w:tblLayout w:type="fixed"/>
        <w:tblCellMar>
          <w:top w:w="0" w:type="dxa"/>
          <w:left w:w="108" w:type="dxa"/>
          <w:bottom w:w="0" w:type="dxa"/>
          <w:right w:w="108" w:type="dxa"/>
        </w:tblCellMar>
      </w:tblPr>
      <w:tblGrid>
        <w:gridCol w:w="9360"/>
      </w:tblGrid>
      <w:tr>
        <w:trPr/>
        <w:tc>
          <w:tcPr>
            <w:tcW w:w="9360" w:type="dxa"/>
            <w:tcBorders/>
          </w:tcPr>
          <w:p>
            <w:pPr>
              <w:pStyle w:val="ImageCaption"/>
              <w:spacing w:before="200" w:after="120"/>
              <w:jc w:val="both"/>
              <w:rPr/>
            </w:pPr>
            <w:r>
              <w:rPr/>
              <w:t>Tabela 5: Distribuição conjunta das proporções da situação de empréstimo conforme a classificação de risco</w:t>
            </w:r>
          </w:p>
        </w:tc>
      </w:tr>
    </w:tbl>
    <w:tbl>
      <w:tblPr>
        <w:tblW w:w="5000" w:type="pct"/>
        <w:jc w:val="center"/>
        <w:tblInd w:w="0" w:type="dxa"/>
        <w:tblLayout w:type="fixed"/>
        <w:tblCellMar>
          <w:top w:w="0" w:type="dxa"/>
          <w:left w:w="60" w:type="dxa"/>
          <w:bottom w:w="0" w:type="dxa"/>
          <w:right w:w="60" w:type="dxa"/>
        </w:tblCellMar>
        <w:tblLook w:noHBand="0" w:noVBand="0" w:firstColumn="0" w:lastRow="0" w:lastColumn="0" w:firstRow="0" w:val="0000"/>
      </w:tblPr>
      <w:tblGrid>
        <w:gridCol w:w="2339"/>
        <w:gridCol w:w="2340"/>
        <w:gridCol w:w="2340"/>
        <w:gridCol w:w="2341"/>
      </w:tblGrid>
      <w:tr>
        <w:trPr>
          <w:tblHeader w:val="true"/>
          <w:cantSplit/>
        </w:trPr>
        <w:tc>
          <w:tcPr>
            <w:tcW w:w="2339" w:type="dxa"/>
            <w:vMerge w:val="restart"/>
            <w:tcBorders>
              <w:top w:val="single" w:sz="16" w:space="0" w:color="D3D3D3"/>
              <w:left w:val="single" w:sz="6" w:space="0" w:color="D3D3D3"/>
              <w:bottom w:val="single" w:sz="16" w:space="0" w:color="D3D3D3"/>
              <w:right w:val="single" w:sz="6" w:space="0" w:color="D3D3D3"/>
            </w:tcBorders>
            <w:vAlign w:val="bottom"/>
          </w:tcPr>
          <w:p>
            <w:pPr>
              <w:pStyle w:val="Normal"/>
              <w:keepNext w:val="true"/>
              <w:spacing w:before="0" w:after="60"/>
              <w:jc w:val="both"/>
              <w:rPr/>
            </w:pPr>
            <w:r>
              <w:rPr>
                <w:rFonts w:ascii="Calibri" w:hAnsi="Calibri"/>
                <w:sz w:val="20"/>
              </w:rPr>
              <w:t>Risco</w:t>
            </w:r>
          </w:p>
        </w:tc>
        <w:tc>
          <w:tcPr>
            <w:tcW w:w="7021" w:type="dxa"/>
            <w:gridSpan w:val="3"/>
            <w:tcBorders>
              <w:top w:val="single" w:sz="16" w:space="0" w:color="D3D3D3"/>
              <w:left w:val="single" w:sz="6" w:space="0" w:color="D3D3D3"/>
              <w:bottom w:val="single" w:sz="16" w:space="0" w:color="D3D3D3"/>
              <w:right w:val="single" w:sz="6" w:space="0" w:color="D3D3D3"/>
            </w:tcBorders>
          </w:tcPr>
          <w:p>
            <w:pPr>
              <w:pStyle w:val="Normal"/>
              <w:keepNext w:val="true"/>
              <w:spacing w:before="0" w:after="60"/>
              <w:jc w:val="both"/>
              <w:rPr/>
            </w:pPr>
            <w:r>
              <w:rPr>
                <w:rFonts w:ascii="Calibri" w:hAnsi="Calibri"/>
                <w:sz w:val="20"/>
              </w:rPr>
              <w:t>Situação do empréstimo (%)</w:t>
            </w:r>
          </w:p>
        </w:tc>
      </w:tr>
      <w:tr>
        <w:trPr>
          <w:tblHeader w:val="true"/>
          <w:cantSplit/>
        </w:trPr>
        <w:tc>
          <w:tcPr>
            <w:tcW w:w="2339" w:type="dxa"/>
            <w:vMerge w:val="continue"/>
            <w:tcBorders>
              <w:left w:val="single" w:sz="6" w:space="0" w:color="D3D3D3"/>
              <w:bottom w:val="single" w:sz="16" w:space="0" w:color="D3D3D3"/>
              <w:right w:val="single" w:sz="6" w:space="0" w:color="D3D3D3"/>
            </w:tcBorders>
          </w:tcPr>
          <w:p>
            <w:pPr>
              <w:pStyle w:val="Normal"/>
              <w:keepNext w:val="true"/>
              <w:spacing w:before="0" w:after="60"/>
              <w:jc w:val="both"/>
              <w:rPr/>
            </w:pPr>
            <w:r>
              <w:rPr/>
            </w:r>
          </w:p>
        </w:tc>
        <w:tc>
          <w:tcPr>
            <w:tcW w:w="2340" w:type="dxa"/>
            <w:tcBorders>
              <w:left w:val="single" w:sz="6" w:space="0" w:color="D3D3D3"/>
              <w:bottom w:val="single" w:sz="16" w:space="0" w:color="D3D3D3"/>
            </w:tcBorders>
          </w:tcPr>
          <w:p>
            <w:pPr>
              <w:pStyle w:val="Normal"/>
              <w:keepNext w:val="true"/>
              <w:spacing w:before="0" w:after="60"/>
              <w:jc w:val="both"/>
              <w:rPr/>
            </w:pPr>
            <w:r>
              <w:rPr>
                <w:rFonts w:ascii="Calibri" w:hAnsi="Calibri"/>
                <w:sz w:val="20"/>
              </w:rPr>
              <w:t>Adimplente</w:t>
            </w:r>
          </w:p>
        </w:tc>
        <w:tc>
          <w:tcPr>
            <w:tcW w:w="2340" w:type="dxa"/>
            <w:tcBorders>
              <w:bottom w:val="single" w:sz="16" w:space="0" w:color="D3D3D3"/>
            </w:tcBorders>
          </w:tcPr>
          <w:p>
            <w:pPr>
              <w:pStyle w:val="Normal"/>
              <w:keepNext w:val="true"/>
              <w:spacing w:before="0" w:after="60"/>
              <w:jc w:val="both"/>
              <w:rPr/>
            </w:pPr>
            <w:r>
              <w:rPr>
                <w:rFonts w:ascii="Calibri" w:hAnsi="Calibri"/>
                <w:sz w:val="20"/>
              </w:rPr>
              <w:t>Inadimplente</w:t>
            </w:r>
          </w:p>
        </w:tc>
        <w:tc>
          <w:tcPr>
            <w:tcW w:w="2341" w:type="dxa"/>
            <w:tcBorders>
              <w:bottom w:val="single" w:sz="16" w:space="0" w:color="D3D3D3"/>
              <w:right w:val="single" w:sz="6" w:space="0" w:color="D3D3D3"/>
            </w:tcBorders>
          </w:tcPr>
          <w:p>
            <w:pPr>
              <w:pStyle w:val="Normal"/>
              <w:keepNext w:val="true"/>
              <w:spacing w:before="0" w:after="60"/>
              <w:jc w:val="both"/>
              <w:rPr/>
            </w:pPr>
            <w:r>
              <w:rPr>
                <w:rFonts w:ascii="Calibri" w:hAnsi="Calibri"/>
                <w:sz w:val="20"/>
              </w:rPr>
              <w:t>Total</w:t>
            </w:r>
          </w:p>
        </w:tc>
      </w:tr>
      <w:tr>
        <w:trPr>
          <w:cantSplit/>
        </w:trPr>
        <w:tc>
          <w:tcPr>
            <w:tcW w:w="2339"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A</w:t>
            </w:r>
          </w:p>
        </w:tc>
        <w:tc>
          <w:tcPr>
            <w:tcW w:w="23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90.04</w:t>
            </w:r>
          </w:p>
        </w:tc>
        <w:tc>
          <w:tcPr>
            <w:tcW w:w="23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9.96</w:t>
            </w:r>
          </w:p>
        </w:tc>
        <w:tc>
          <w:tcPr>
            <w:tcW w:w="2341"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100</w:t>
            </w:r>
          </w:p>
        </w:tc>
      </w:tr>
      <w:tr>
        <w:trPr>
          <w:cantSplit/>
        </w:trPr>
        <w:tc>
          <w:tcPr>
            <w:tcW w:w="2339"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B</w:t>
            </w:r>
          </w:p>
        </w:tc>
        <w:tc>
          <w:tcPr>
            <w:tcW w:w="23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83.72</w:t>
            </w:r>
          </w:p>
        </w:tc>
        <w:tc>
          <w:tcPr>
            <w:tcW w:w="23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16.28</w:t>
            </w:r>
          </w:p>
        </w:tc>
        <w:tc>
          <w:tcPr>
            <w:tcW w:w="2341"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100</w:t>
            </w:r>
          </w:p>
        </w:tc>
      </w:tr>
      <w:tr>
        <w:trPr>
          <w:cantSplit/>
        </w:trPr>
        <w:tc>
          <w:tcPr>
            <w:tcW w:w="2339"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C</w:t>
            </w:r>
          </w:p>
        </w:tc>
        <w:tc>
          <w:tcPr>
            <w:tcW w:w="23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79.26</w:t>
            </w:r>
          </w:p>
        </w:tc>
        <w:tc>
          <w:tcPr>
            <w:tcW w:w="23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20.74</w:t>
            </w:r>
          </w:p>
        </w:tc>
        <w:tc>
          <w:tcPr>
            <w:tcW w:w="2341"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100</w:t>
            </w:r>
          </w:p>
        </w:tc>
      </w:tr>
      <w:tr>
        <w:trPr>
          <w:cantSplit/>
        </w:trPr>
        <w:tc>
          <w:tcPr>
            <w:tcW w:w="2339"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D</w:t>
            </w:r>
          </w:p>
        </w:tc>
        <w:tc>
          <w:tcPr>
            <w:tcW w:w="23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40.97</w:t>
            </w:r>
          </w:p>
        </w:tc>
        <w:tc>
          <w:tcPr>
            <w:tcW w:w="23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59.03</w:t>
            </w:r>
          </w:p>
        </w:tc>
        <w:tc>
          <w:tcPr>
            <w:tcW w:w="2341"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100</w:t>
            </w:r>
          </w:p>
        </w:tc>
      </w:tr>
      <w:tr>
        <w:trPr>
          <w:cantSplit/>
        </w:trPr>
        <w:tc>
          <w:tcPr>
            <w:tcW w:w="2339"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E</w:t>
            </w:r>
          </w:p>
        </w:tc>
        <w:tc>
          <w:tcPr>
            <w:tcW w:w="23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35.58</w:t>
            </w:r>
          </w:p>
        </w:tc>
        <w:tc>
          <w:tcPr>
            <w:tcW w:w="23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64.42</w:t>
            </w:r>
          </w:p>
        </w:tc>
        <w:tc>
          <w:tcPr>
            <w:tcW w:w="2341"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100</w:t>
            </w:r>
          </w:p>
        </w:tc>
      </w:tr>
      <w:tr>
        <w:trPr>
          <w:cantSplit/>
        </w:trPr>
        <w:tc>
          <w:tcPr>
            <w:tcW w:w="2339"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F</w:t>
            </w:r>
          </w:p>
        </w:tc>
        <w:tc>
          <w:tcPr>
            <w:tcW w:w="23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29.46</w:t>
            </w:r>
          </w:p>
        </w:tc>
        <w:tc>
          <w:tcPr>
            <w:tcW w:w="23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70.54</w:t>
            </w:r>
          </w:p>
        </w:tc>
        <w:tc>
          <w:tcPr>
            <w:tcW w:w="2341"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100</w:t>
            </w:r>
          </w:p>
        </w:tc>
      </w:tr>
      <w:tr>
        <w:trPr>
          <w:cantSplit/>
        </w:trPr>
        <w:tc>
          <w:tcPr>
            <w:tcW w:w="2339"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G</w:t>
            </w:r>
          </w:p>
        </w:tc>
        <w:tc>
          <w:tcPr>
            <w:tcW w:w="23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1.56</w:t>
            </w:r>
          </w:p>
        </w:tc>
        <w:tc>
          <w:tcPr>
            <w:tcW w:w="23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98.44</w:t>
            </w:r>
          </w:p>
        </w:tc>
        <w:tc>
          <w:tcPr>
            <w:tcW w:w="2341"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100</w:t>
            </w:r>
          </w:p>
        </w:tc>
      </w:tr>
      <w:tr>
        <w:trPr>
          <w:cantSplit/>
        </w:trPr>
        <w:tc>
          <w:tcPr>
            <w:tcW w:w="9360" w:type="dxa"/>
            <w:gridSpan w:val="4"/>
            <w:tcBorders/>
          </w:tcPr>
          <w:p>
            <w:pPr>
              <w:pStyle w:val="Normal"/>
              <w:keepNext w:val="true"/>
              <w:spacing w:before="0" w:after="60"/>
              <w:jc w:val="both"/>
              <w:rPr/>
            </w:pPr>
            <w:r>
              <w:rPr>
                <w:rFonts w:ascii="Calibri" w:hAnsi="Calibri"/>
                <w:b/>
                <w:sz w:val="20"/>
              </w:rPr>
              <w:t>Fonte</w:t>
            </w:r>
            <w:r>
              <w:rPr>
                <w:rFonts w:ascii="Calibri" w:hAnsi="Calibri"/>
                <w:sz w:val="20"/>
              </w:rPr>
              <w:t>: base de dados.</w:t>
            </w:r>
            <w:bookmarkStart w:id="33" w:name="tbl-dblentry-loan_grade"/>
            <w:bookmarkEnd w:id="33"/>
          </w:p>
        </w:tc>
      </w:tr>
    </w:tbl>
    <w:p>
      <w:pPr>
        <w:pStyle w:val="Heading3"/>
        <w:jc w:val="both"/>
        <w:rPr/>
      </w:pPr>
      <w:r>
        <w:rPr/>
        <w:t>Registro de inadimplência anterior</w:t>
      </w:r>
    </w:p>
    <w:p>
      <w:pPr>
        <w:pStyle w:val="FirstParagraph"/>
        <w:jc w:val="both"/>
        <w:rPr/>
      </w:pPr>
      <w:r>
        <w:rPr/>
        <w:t>Cerca de 5744 (17.63%) dos empréstimos concedidos a pessoas que já possuíam registro de inadimplência em seus históricos, enquanto que 26828 (82.37%) dos empréstimos foram concedidos a pessoas que sempre pagam em dia.</w:t>
      </w:r>
    </w:p>
    <w:p>
      <w:pPr>
        <w:pStyle w:val="BodyText"/>
        <w:jc w:val="both"/>
        <w:rPr/>
      </w:pPr>
      <w:r>
        <w:rPr/>
        <w:t xml:space="preserve">A </w:t>
      </w:r>
      <w:hyperlink w:anchor="tbl-dblentry-cb-person-default-on-file">
        <w:r>
          <w:rPr>
            <w:rStyle w:val="Hyperlink"/>
          </w:rPr>
          <w:t>Tabela 6</w:t>
        </w:r>
      </w:hyperlink>
      <w:r>
        <w:rPr/>
        <w:t xml:space="preserve"> demonstra que a proporção de inadimplentes no grupo dos que já foram inadimplentes no passado é basicamente o dobro do grupo dos que nunca ficaram devendo.</w:t>
      </w:r>
    </w:p>
    <w:tbl>
      <w:tblPr>
        <w:tblW w:w="5000" w:type="pct"/>
        <w:jc w:val="left"/>
        <w:tblInd w:w="108" w:type="dxa"/>
        <w:tblLayout w:type="fixed"/>
        <w:tblCellMar>
          <w:top w:w="0" w:type="dxa"/>
          <w:left w:w="108" w:type="dxa"/>
          <w:bottom w:w="0" w:type="dxa"/>
          <w:right w:w="108" w:type="dxa"/>
        </w:tblCellMar>
      </w:tblPr>
      <w:tblGrid>
        <w:gridCol w:w="9360"/>
      </w:tblGrid>
      <w:tr>
        <w:trPr/>
        <w:tc>
          <w:tcPr>
            <w:tcW w:w="9360" w:type="dxa"/>
            <w:tcBorders/>
          </w:tcPr>
          <w:p>
            <w:pPr>
              <w:pStyle w:val="ImageCaption"/>
              <w:spacing w:before="200" w:after="120"/>
              <w:jc w:val="both"/>
              <w:rPr/>
            </w:pPr>
            <w:r>
              <w:rPr/>
              <w:t>Tabela 6: Distribuição conjunta das proporções da situação de empréstimo conforme o registro de inadimplência anterior</w:t>
            </w:r>
          </w:p>
        </w:tc>
      </w:tr>
    </w:tbl>
    <w:tbl>
      <w:tblPr>
        <w:tblW w:w="5000" w:type="pct"/>
        <w:jc w:val="center"/>
        <w:tblInd w:w="0" w:type="dxa"/>
        <w:tblLayout w:type="fixed"/>
        <w:tblCellMar>
          <w:top w:w="0" w:type="dxa"/>
          <w:left w:w="60" w:type="dxa"/>
          <w:bottom w:w="0" w:type="dxa"/>
          <w:right w:w="60" w:type="dxa"/>
        </w:tblCellMar>
        <w:tblLook w:noHBand="0" w:noVBand="0" w:firstColumn="0" w:lastRow="0" w:lastColumn="0" w:firstRow="0" w:val="0000"/>
      </w:tblPr>
      <w:tblGrid>
        <w:gridCol w:w="2339"/>
        <w:gridCol w:w="2340"/>
        <w:gridCol w:w="2340"/>
        <w:gridCol w:w="2341"/>
      </w:tblGrid>
      <w:tr>
        <w:trPr>
          <w:tblHeader w:val="true"/>
          <w:cantSplit/>
        </w:trPr>
        <w:tc>
          <w:tcPr>
            <w:tcW w:w="2339" w:type="dxa"/>
            <w:vMerge w:val="restart"/>
            <w:tcBorders>
              <w:top w:val="single" w:sz="16" w:space="0" w:color="D3D3D3"/>
              <w:left w:val="single" w:sz="6" w:space="0" w:color="D3D3D3"/>
              <w:bottom w:val="single" w:sz="16" w:space="0" w:color="D3D3D3"/>
              <w:right w:val="single" w:sz="6" w:space="0" w:color="D3D3D3"/>
            </w:tcBorders>
            <w:vAlign w:val="bottom"/>
          </w:tcPr>
          <w:p>
            <w:pPr>
              <w:pStyle w:val="Normal"/>
              <w:keepNext w:val="true"/>
              <w:spacing w:before="0" w:after="60"/>
              <w:jc w:val="both"/>
              <w:rPr/>
            </w:pPr>
            <w:r>
              <w:rPr>
                <w:rFonts w:ascii="Calibri" w:hAnsi="Calibri"/>
                <w:sz w:val="20"/>
              </w:rPr>
              <w:t>Registro</w:t>
            </w:r>
          </w:p>
        </w:tc>
        <w:tc>
          <w:tcPr>
            <w:tcW w:w="7021" w:type="dxa"/>
            <w:gridSpan w:val="3"/>
            <w:tcBorders>
              <w:top w:val="single" w:sz="16" w:space="0" w:color="D3D3D3"/>
              <w:left w:val="single" w:sz="6" w:space="0" w:color="D3D3D3"/>
              <w:bottom w:val="single" w:sz="16" w:space="0" w:color="D3D3D3"/>
              <w:right w:val="single" w:sz="6" w:space="0" w:color="D3D3D3"/>
            </w:tcBorders>
          </w:tcPr>
          <w:p>
            <w:pPr>
              <w:pStyle w:val="Normal"/>
              <w:keepNext w:val="true"/>
              <w:spacing w:before="0" w:after="60"/>
              <w:jc w:val="both"/>
              <w:rPr/>
            </w:pPr>
            <w:r>
              <w:rPr>
                <w:rFonts w:ascii="Calibri" w:hAnsi="Calibri"/>
                <w:sz w:val="20"/>
              </w:rPr>
              <w:t>Situação do empréstimo (%)</w:t>
            </w:r>
          </w:p>
        </w:tc>
      </w:tr>
      <w:tr>
        <w:trPr>
          <w:tblHeader w:val="true"/>
          <w:cantSplit/>
        </w:trPr>
        <w:tc>
          <w:tcPr>
            <w:tcW w:w="2339" w:type="dxa"/>
            <w:vMerge w:val="continue"/>
            <w:tcBorders>
              <w:left w:val="single" w:sz="6" w:space="0" w:color="D3D3D3"/>
              <w:bottom w:val="single" w:sz="16" w:space="0" w:color="D3D3D3"/>
              <w:right w:val="single" w:sz="6" w:space="0" w:color="D3D3D3"/>
            </w:tcBorders>
          </w:tcPr>
          <w:p>
            <w:pPr>
              <w:pStyle w:val="Normal"/>
              <w:keepNext w:val="true"/>
              <w:spacing w:before="0" w:after="60"/>
              <w:jc w:val="both"/>
              <w:rPr/>
            </w:pPr>
            <w:r>
              <w:rPr/>
            </w:r>
          </w:p>
        </w:tc>
        <w:tc>
          <w:tcPr>
            <w:tcW w:w="2340" w:type="dxa"/>
            <w:tcBorders>
              <w:left w:val="single" w:sz="6" w:space="0" w:color="D3D3D3"/>
              <w:bottom w:val="single" w:sz="16" w:space="0" w:color="D3D3D3"/>
            </w:tcBorders>
          </w:tcPr>
          <w:p>
            <w:pPr>
              <w:pStyle w:val="Normal"/>
              <w:keepNext w:val="true"/>
              <w:spacing w:before="0" w:after="60"/>
              <w:jc w:val="both"/>
              <w:rPr/>
            </w:pPr>
            <w:r>
              <w:rPr>
                <w:rFonts w:ascii="Calibri" w:hAnsi="Calibri"/>
                <w:sz w:val="20"/>
              </w:rPr>
              <w:t>Adimplente</w:t>
            </w:r>
          </w:p>
        </w:tc>
        <w:tc>
          <w:tcPr>
            <w:tcW w:w="2340" w:type="dxa"/>
            <w:tcBorders>
              <w:bottom w:val="single" w:sz="16" w:space="0" w:color="D3D3D3"/>
            </w:tcBorders>
          </w:tcPr>
          <w:p>
            <w:pPr>
              <w:pStyle w:val="Normal"/>
              <w:keepNext w:val="true"/>
              <w:spacing w:before="0" w:after="60"/>
              <w:jc w:val="both"/>
              <w:rPr/>
            </w:pPr>
            <w:r>
              <w:rPr>
                <w:rFonts w:ascii="Calibri" w:hAnsi="Calibri"/>
                <w:sz w:val="20"/>
              </w:rPr>
              <w:t>Inadimplente</w:t>
            </w:r>
          </w:p>
        </w:tc>
        <w:tc>
          <w:tcPr>
            <w:tcW w:w="2341" w:type="dxa"/>
            <w:tcBorders>
              <w:bottom w:val="single" w:sz="16" w:space="0" w:color="D3D3D3"/>
              <w:right w:val="single" w:sz="6" w:space="0" w:color="D3D3D3"/>
            </w:tcBorders>
          </w:tcPr>
          <w:p>
            <w:pPr>
              <w:pStyle w:val="Normal"/>
              <w:keepNext w:val="true"/>
              <w:spacing w:before="0" w:after="60"/>
              <w:jc w:val="both"/>
              <w:rPr/>
            </w:pPr>
            <w:r>
              <w:rPr>
                <w:rFonts w:ascii="Calibri" w:hAnsi="Calibri"/>
                <w:sz w:val="20"/>
              </w:rPr>
              <w:t>Total</w:t>
            </w:r>
          </w:p>
        </w:tc>
      </w:tr>
      <w:tr>
        <w:trPr>
          <w:cantSplit/>
        </w:trPr>
        <w:tc>
          <w:tcPr>
            <w:tcW w:w="2339"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Sim</w:t>
            </w:r>
          </w:p>
        </w:tc>
        <w:tc>
          <w:tcPr>
            <w:tcW w:w="23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62.2</w:t>
            </w:r>
          </w:p>
        </w:tc>
        <w:tc>
          <w:tcPr>
            <w:tcW w:w="23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37.8</w:t>
            </w:r>
          </w:p>
        </w:tc>
        <w:tc>
          <w:tcPr>
            <w:tcW w:w="2341"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100</w:t>
            </w:r>
          </w:p>
        </w:tc>
      </w:tr>
      <w:tr>
        <w:trPr>
          <w:cantSplit/>
        </w:trPr>
        <w:tc>
          <w:tcPr>
            <w:tcW w:w="2339"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Não</w:t>
            </w:r>
          </w:p>
        </w:tc>
        <w:tc>
          <w:tcPr>
            <w:tcW w:w="23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81.6</w:t>
            </w:r>
          </w:p>
        </w:tc>
        <w:tc>
          <w:tcPr>
            <w:tcW w:w="2340"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18.4</w:t>
            </w:r>
          </w:p>
        </w:tc>
        <w:tc>
          <w:tcPr>
            <w:tcW w:w="2341"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both"/>
              <w:rPr/>
            </w:pPr>
            <w:r>
              <w:rPr>
                <w:rFonts w:ascii="Calibri" w:hAnsi="Calibri"/>
                <w:sz w:val="20"/>
              </w:rPr>
              <w:t>100</w:t>
            </w:r>
          </w:p>
        </w:tc>
      </w:tr>
      <w:tr>
        <w:trPr>
          <w:cantSplit/>
        </w:trPr>
        <w:tc>
          <w:tcPr>
            <w:tcW w:w="9360" w:type="dxa"/>
            <w:gridSpan w:val="4"/>
            <w:tcBorders/>
          </w:tcPr>
          <w:p>
            <w:pPr>
              <w:pStyle w:val="Normal"/>
              <w:keepNext w:val="true"/>
              <w:spacing w:before="0" w:after="60"/>
              <w:jc w:val="both"/>
              <w:rPr/>
            </w:pPr>
            <w:r>
              <w:rPr>
                <w:rFonts w:ascii="Calibri" w:hAnsi="Calibri"/>
                <w:b/>
                <w:sz w:val="20"/>
              </w:rPr>
              <w:t>Fonte</w:t>
            </w:r>
            <w:r>
              <w:rPr>
                <w:rFonts w:ascii="Calibri" w:hAnsi="Calibri"/>
                <w:sz w:val="20"/>
              </w:rPr>
              <w:t>: base de dados.</w:t>
            </w:r>
            <w:bookmarkStart w:id="34" w:name="tbl-dblentry-cb-person-default-on-file"/>
            <w:bookmarkEnd w:id="34"/>
          </w:p>
        </w:tc>
      </w:tr>
    </w:tbl>
    <w:p>
      <w:pPr>
        <w:pStyle w:val="Heading3"/>
        <w:jc w:val="both"/>
        <w:rPr/>
      </w:pPr>
      <w:r>
        <w:rPr/>
        <w:t>Situação do empréstimo</w:t>
      </w:r>
    </w:p>
    <w:p>
      <w:pPr>
        <w:pStyle w:val="FirstParagraph"/>
        <w:jc w:val="both"/>
        <w:rPr/>
      </w:pPr>
      <w:r>
        <w:rPr/>
        <w:t>Na amostra saneada, nossa variável resposta revela que 7107 (21.82%) dos empréstimos concedidos tiveram um desfecho de inadimplência na base de dados, ao passo que apenas 25465 (78.18%) do total de 32572 empréstimos foram devidamente quitados.</w:t>
      </w:r>
    </w:p>
    <w:p>
      <w:pPr>
        <w:pStyle w:val="Heading2"/>
        <w:jc w:val="both"/>
        <w:rPr/>
      </w:pPr>
      <w:r>
        <w:rPr/>
        <w:t>Análise conjunta</w:t>
      </w:r>
    </w:p>
    <w:p>
      <w:pPr>
        <w:pStyle w:val="FirstParagraph"/>
        <w:jc w:val="both"/>
        <w:rPr/>
      </w:pPr>
      <w:r>
        <w:rPr/>
        <w:t>Agora iremos investigar a existência de relações entre as potenciais variáveis preditoras. Mais especificamente, iremos concentrar nossa atenção para as correlações entre as variáveis numéricas e as distribuições conjuntas entre pares de variáveis categóricas por meio da inspeção visual de gráficos de barras empilhados.</w:t>
      </w:r>
    </w:p>
    <w:p>
      <w:pPr>
        <w:pStyle w:val="Heading3"/>
        <w:jc w:val="both"/>
        <w:rPr/>
      </w:pPr>
      <w:r>
        <w:rPr/>
        <w:t>Variáveis quantitativas</w:t>
      </w:r>
    </w:p>
    <w:p>
      <w:pPr>
        <w:pStyle w:val="FirstParagraph"/>
        <w:jc w:val="both"/>
        <w:rPr/>
      </w:pPr>
      <w:r>
        <w:rPr/>
        <w:t xml:space="preserve">A matriz de correlação linear exibida na </w:t>
      </w:r>
      <w:hyperlink w:anchor="fig-corr-matrix">
        <w:r>
          <w:rPr>
            <w:rStyle w:val="Hyperlink"/>
          </w:rPr>
          <w:t>Figura 20</w:t>
        </w:r>
      </w:hyperlink>
      <w:r>
        <w:rPr/>
        <w:t xml:space="preserve"> revela predomínio de associações fracas a nulas entre a maioria das variáveis explicativas numéricas, indicando baixo risco generalizado de redundância de informação. Destacam-se, contudo, dois pares específicos: a forte associação entre idade e tempo de histórico de crédito (</w:t>
      </w:r>
      <w:r>
        <w:rPr/>
      </w:r>
      <m:oMath xmlns:m="http://schemas.openxmlformats.org/officeDocument/2006/math">
        <m:r>
          <w:rPr>
            <w:rFonts w:ascii="Cambria Math" w:hAnsi="Cambria Math"/>
          </w:rPr>
          <m:t xml:space="preserve">r</m:t>
        </m:r>
        <m:r>
          <m:rPr>
            <m:lit/>
            <m:nor/>
          </m:rPr>
          <w:rPr>
            <w:rFonts w:ascii="Cambria Math" w:hAnsi="Cambria Math"/>
          </w:rPr>
          <m:t xml:space="preserve">&gt;</m:t>
        </m:r>
        <m:r>
          <w:rPr>
            <w:rFonts w:ascii="Cambria Math" w:hAnsi="Cambria Math"/>
          </w:rPr>
          <m:t xml:space="preserve">0.80</m:t>
        </m:r>
      </m:oMath>
      <w:r>
        <w:rPr/>
        <w:t>), e a correlação positiva entre o montante do empréstimo e o comprometimento da renda (</w:t>
      </w:r>
      <w:r>
        <w:rPr/>
      </w:r>
      <m:oMath xmlns:m="http://schemas.openxmlformats.org/officeDocument/2006/math">
        <m:r>
          <w:rPr>
            <w:rFonts w:ascii="Cambria Math" w:hAnsi="Cambria Math"/>
          </w:rPr>
          <m:t xml:space="preserve">r</m:t>
        </m:r>
        <m:r>
          <m:rPr>
            <m:lit/>
            <m:nor/>
          </m:rPr>
          <w:rPr>
            <w:rFonts w:ascii="Cambria Math" w:hAnsi="Cambria Math"/>
          </w:rPr>
          <m:t xml:space="preserve">&gt;</m:t>
        </m:r>
        <m:r>
          <w:rPr>
            <w:rFonts w:ascii="Cambria Math" w:hAnsi="Cambria Math"/>
          </w:rPr>
          <m:t xml:space="preserve">0.5</m:t>
        </m:r>
      </m:oMath>
      <w:r>
        <w:rPr/>
        <w:t>). Ambos os casos serão monitorados quanto a possíveis impactos de multicolinearidade nas etapas de ajuste do modelo preditivo.</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widowControl/>
              <w:spacing w:before="36" w:after="36"/>
              <w:jc w:val="both"/>
              <w:rPr>
                <w:rFonts w:ascii="Aptos" w:hAnsi="Aptos" w:eastAsia="Aptos" w:cs=""/>
                <w:kern w:val="0"/>
                <w:sz w:val="24"/>
                <w:szCs w:val="24"/>
                <w:lang w:val="pt-BR" w:eastAsia="en-US" w:bidi="ar-SA"/>
              </w:rPr>
            </w:pPr>
            <w:bookmarkStart w:id="35" w:name="fig-corr-matrix"/>
            <w:r>
              <w:rPr>
                <w:rFonts w:eastAsia="Aptos" w:cs=""/>
                <w:kern w:val="0"/>
                <w:sz w:val="24"/>
                <w:szCs w:val="24"/>
                <w:lang w:val="pt-BR" w:eastAsia="en-US" w:bidi="ar-SA"/>
              </w:rPr>
              <w:drawing>
                <wp:inline distT="0" distB="0" distL="0" distR="0">
                  <wp:extent cx="4620260" cy="3696335"/>
                  <wp:effectExtent l="0" t="0" r="0" b="0"/>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3"/>
                          <a:stretch>
                            <a:fillRect/>
                          </a:stretch>
                        </pic:blipFill>
                        <pic:spPr bwMode="auto">
                          <a:xfrm>
                            <a:off x="0" y="0"/>
                            <a:ext cx="4620260" cy="3696335"/>
                          </a:xfrm>
                          <a:prstGeom prst="rect">
                            <a:avLst/>
                          </a:prstGeom>
                          <a:noFill/>
                        </pic:spPr>
                      </pic:pic>
                    </a:graphicData>
                  </a:graphic>
                </wp:inline>
              </w:drawing>
            </w:r>
          </w:p>
          <w:p>
            <w:pPr>
              <w:pStyle w:val="ImageCaption"/>
              <w:widowControl/>
              <w:spacing w:before="200" w:after="120"/>
              <w:jc w:val="both"/>
              <w:rPr>
                <w:rFonts w:ascii="Aptos" w:hAnsi="Aptos" w:eastAsia="Aptos" w:cs=""/>
                <w:kern w:val="0"/>
                <w:sz w:val="24"/>
                <w:szCs w:val="24"/>
                <w:lang w:val="pt-BR" w:eastAsia="en-US" w:bidi="ar-SA"/>
              </w:rPr>
            </w:pPr>
            <w:r>
              <w:rPr>
                <w:rFonts w:eastAsia="Aptos" w:cs=""/>
                <w:kern w:val="0"/>
                <w:sz w:val="24"/>
                <w:szCs w:val="24"/>
                <w:lang w:val="pt-BR" w:eastAsia="en-US" w:bidi="ar-SA"/>
              </w:rPr>
              <w:t>Figura 20: Matriz de correlação</w:t>
            </w:r>
            <w:bookmarkStart w:id="36" w:name="variáveis-quantitativas"/>
            <w:bookmarkEnd w:id="35"/>
            <w:bookmarkEnd w:id="36"/>
          </w:p>
        </w:tc>
      </w:tr>
    </w:tbl>
    <w:p>
      <w:pPr>
        <w:pStyle w:val="Heading3"/>
        <w:jc w:val="both"/>
        <w:rPr/>
      </w:pPr>
      <w:r>
        <w:rPr/>
        <w:t>Variáveis categóricas</w:t>
      </w:r>
    </w:p>
    <w:p>
      <w:pPr>
        <w:pStyle w:val="FirstParagraph"/>
        <w:jc w:val="both"/>
        <w:rPr/>
      </w:pPr>
      <w:r>
        <w:rPr/>
        <w:t xml:space="preserve">A </w:t>
      </w:r>
      <w:hyperlink w:anchor="fig-associacao-categoricas">
        <w:r>
          <w:rPr>
            <w:rStyle w:val="Hyperlink"/>
          </w:rPr>
          <w:t>Figura 21</w:t>
        </w:r>
      </w:hyperlink>
      <w:r>
        <w:rPr/>
        <w:t xml:space="preserve"> apresenta as distribuições entre os pares das variáveis categóricas: tipo de moradia, finalidade do empréstimo, nível de risco e registro de inadimplência anterior. Nota-se que praticamente todos os pares de preditores categóricos apresentam distribuições homogêneas e independentes entre si. A principal exceção reside no cruzamento entre nível de risco e registro de inadimplência anterior, no qual as faixas de menor risco (A e B) exibem ausência quase total de registros negativos em comparação às categorias mais arriscadas.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widowControl/>
              <w:spacing w:before="36" w:after="36"/>
              <w:jc w:val="both"/>
              <w:rPr>
                <w:rFonts w:ascii="Aptos" w:hAnsi="Aptos" w:eastAsia="Aptos" w:cs=""/>
                <w:kern w:val="0"/>
                <w:sz w:val="24"/>
                <w:szCs w:val="24"/>
                <w:lang w:val="pt-BR" w:eastAsia="en-US" w:bidi="ar-SA"/>
              </w:rPr>
            </w:pPr>
            <w:bookmarkStart w:id="37" w:name="fig-associacao-categoricas"/>
            <w:r>
              <w:rPr>
                <w:rFonts w:eastAsia="Aptos" w:cs=""/>
                <w:kern w:val="0"/>
                <w:sz w:val="24"/>
                <w:szCs w:val="24"/>
                <w:lang w:val="pt-BR" w:eastAsia="en-US" w:bidi="ar-SA"/>
              </w:rPr>
              <w:drawing>
                <wp:inline distT="0" distB="0" distL="0" distR="0">
                  <wp:extent cx="5334000" cy="5867400"/>
                  <wp:effectExtent l="0" t="0" r="0" b="0"/>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24"/>
                          <a:stretch>
                            <a:fillRect/>
                          </a:stretch>
                        </pic:blipFill>
                        <pic:spPr bwMode="auto">
                          <a:xfrm>
                            <a:off x="0" y="0"/>
                            <a:ext cx="5334000" cy="5867400"/>
                          </a:xfrm>
                          <a:prstGeom prst="rect">
                            <a:avLst/>
                          </a:prstGeom>
                          <a:noFill/>
                        </pic:spPr>
                      </pic:pic>
                    </a:graphicData>
                  </a:graphic>
                </wp:inline>
              </w:drawing>
            </w:r>
          </w:p>
          <w:p>
            <w:pPr>
              <w:pStyle w:val="ImageCaption"/>
              <w:widowControl/>
              <w:spacing w:before="200" w:after="120"/>
              <w:jc w:val="both"/>
              <w:rPr>
                <w:rFonts w:ascii="Aptos" w:hAnsi="Aptos" w:eastAsia="Aptos" w:cs=""/>
                <w:kern w:val="0"/>
                <w:sz w:val="24"/>
                <w:szCs w:val="24"/>
                <w:lang w:val="pt-BR" w:eastAsia="en-US" w:bidi="ar-SA"/>
              </w:rPr>
            </w:pPr>
            <w:r>
              <w:rPr>
                <w:rFonts w:eastAsia="Aptos" w:cs=""/>
                <w:kern w:val="0"/>
                <w:sz w:val="24"/>
                <w:szCs w:val="24"/>
                <w:lang w:val="pt-BR" w:eastAsia="en-US" w:bidi="ar-SA"/>
              </w:rPr>
              <w:t>Figura 21: Distribuição proporcional entre pares de variáveis categóricas explicativas</w:t>
            </w:r>
            <w:bookmarkStart w:id="38" w:name="análise-conjunta"/>
            <w:bookmarkEnd w:id="37"/>
            <w:bookmarkEnd w:id="38"/>
          </w:p>
        </w:tc>
      </w:tr>
    </w:tbl>
    <w:p>
      <w:pPr>
        <w:pStyle w:val="Heading2"/>
        <w:jc w:val="both"/>
        <w:rPr/>
      </w:pPr>
      <w:r>
        <w:rPr/>
        <w:t>Dados faltantes</w:t>
      </w:r>
    </w:p>
    <w:p>
      <w:pPr>
        <w:pStyle w:val="FirstParagraph"/>
        <w:jc w:val="both"/>
        <w:rPr/>
      </w:pPr>
      <w:r>
        <w:rPr/>
        <w:t>Com o estudo das relações entre as variáveis e a remoção de observações inválidas finalizadas, focaremos agora em um detalhe crucial no aspecto da qualidade e consistência dos dados da amostra, a existência de mensurações faltantes em uma ou mais variáveis.</w:t>
      </w:r>
    </w:p>
    <w:p>
      <w:pPr>
        <w:pStyle w:val="BodyText"/>
        <w:jc w:val="both"/>
        <w:rPr/>
      </w:pPr>
      <w:r>
        <w:rPr/>
        <w:t>Após uma inspeção minuciosa da amostra, detectou-se a existência de dados faltantes em duas variáveis: taxa de juros e tempo de emprego atual. O número de observações faltantes em cada uma destas duas variáveis juntamente com a proporção de perda em relação ao tamanho da amostra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32572</m:t>
        </m:r>
      </m:oMath>
      <w:r>
        <w:rPr/>
        <w:t>) é apresentado no gráfico de barras a seguir.</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widowControl/>
              <w:spacing w:before="36" w:after="36"/>
              <w:jc w:val="both"/>
              <w:rPr>
                <w:rFonts w:ascii="Aptos" w:hAnsi="Aptos" w:eastAsia="Aptos" w:cs=""/>
                <w:kern w:val="0"/>
                <w:sz w:val="24"/>
                <w:szCs w:val="24"/>
                <w:lang w:val="pt-BR" w:eastAsia="en-US" w:bidi="ar-SA"/>
              </w:rPr>
            </w:pPr>
            <w:bookmarkStart w:id="39" w:name="fig-missing-values"/>
            <w:r>
              <w:rPr>
                <w:rFonts w:eastAsia="Aptos" w:cs=""/>
                <w:kern w:val="0"/>
                <w:sz w:val="24"/>
                <w:szCs w:val="24"/>
                <w:lang w:val="pt-BR" w:eastAsia="en-US" w:bidi="ar-SA"/>
              </w:rPr>
              <w:drawing>
                <wp:inline distT="0" distB="0" distL="0" distR="0">
                  <wp:extent cx="4620260" cy="3696335"/>
                  <wp:effectExtent l="0" t="0" r="0" b="0"/>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25"/>
                          <a:stretch>
                            <a:fillRect/>
                          </a:stretch>
                        </pic:blipFill>
                        <pic:spPr bwMode="auto">
                          <a:xfrm>
                            <a:off x="0" y="0"/>
                            <a:ext cx="4620260" cy="3696335"/>
                          </a:xfrm>
                          <a:prstGeom prst="rect">
                            <a:avLst/>
                          </a:prstGeom>
                          <a:noFill/>
                        </pic:spPr>
                      </pic:pic>
                    </a:graphicData>
                  </a:graphic>
                </wp:inline>
              </w:drawing>
            </w:r>
          </w:p>
          <w:p>
            <w:pPr>
              <w:pStyle w:val="ImageCaption"/>
              <w:widowControl/>
              <w:spacing w:before="200" w:after="120"/>
              <w:jc w:val="both"/>
              <w:rPr>
                <w:rFonts w:ascii="Aptos" w:hAnsi="Aptos" w:eastAsia="Aptos" w:cs=""/>
                <w:kern w:val="0"/>
                <w:sz w:val="24"/>
                <w:szCs w:val="24"/>
                <w:lang w:val="pt-BR" w:eastAsia="en-US" w:bidi="ar-SA"/>
              </w:rPr>
            </w:pPr>
            <w:r>
              <w:rPr>
                <w:rFonts w:eastAsia="Aptos" w:cs=""/>
                <w:kern w:val="0"/>
                <w:sz w:val="24"/>
                <w:szCs w:val="24"/>
                <w:lang w:val="pt-BR" w:eastAsia="en-US" w:bidi="ar-SA"/>
              </w:rPr>
              <w:t>Figura 22: Composição de valores faltantes por variável em relação à base de dados</w:t>
            </w:r>
            <w:bookmarkEnd w:id="39"/>
          </w:p>
        </w:tc>
      </w:tr>
    </w:tbl>
    <w:p>
      <w:pPr>
        <w:pStyle w:val="BodyText"/>
        <w:jc w:val="both"/>
        <w:rPr/>
      </w:pPr>
      <w:r>
        <w:rPr/>
        <w:t>A proporção de valores faltantes que estas duas variáveis possuem é alta e podem impactar a base de dados de forma preocupante se não forem tratadas adequadamente, portanto o mero ato de descartar estas observações está fora de questão. É necessário uma maneira de restabelecer estes dados faltantes na amostra.</w:t>
      </w:r>
    </w:p>
    <w:tbl>
      <w:tblPr>
        <w:tblStyle w:val="Table"/>
        <w:tblW w:w="5000" w:type="pct"/>
        <w:jc w:val="left"/>
        <w:tblInd w:w="164" w:type="dxa"/>
        <w:tblLayout w:type="fixed"/>
        <w:tblCellMar>
          <w:top w:w="92" w:type="dxa"/>
          <w:left w:w="144" w:type="dxa"/>
          <w:bottom w:w="92" w:type="dxa"/>
          <w:right w:w="144" w:type="dxa"/>
        </w:tblCellMar>
        <w:tblLook w:noHBand="0" w:noVBand="0" w:firstColumn="0" w:lastRow="0" w:lastColumn="0" w:firstRow="0" w:val="0000"/>
      </w:tblPr>
      <w:tblGrid>
        <w:gridCol w:w="9360"/>
      </w:tblGrid>
      <w:tr>
        <w:trPr>
          <w:cantSplit/>
        </w:trPr>
        <w:tc>
          <w:tcPr>
            <w:tcW w:w="9360" w:type="dxa"/>
            <w:tcBorders>
              <w:top w:val="single" w:sz="4" w:space="0" w:color="EB9113"/>
              <w:left w:val="single" w:sz="24" w:space="0" w:color="EB9113"/>
              <w:right w:val="single" w:sz="4" w:space="0" w:color="EB9113"/>
            </w:tcBorders>
            <w:shd w:color="auto" w:fill="FCEFDC" w:val="clear"/>
          </w:tcPr>
          <w:p>
            <w:pPr>
              <w:pStyle w:val="BodyText"/>
              <w:widowControl/>
              <w:spacing w:before="0" w:after="0"/>
              <w:jc w:val="left"/>
              <w:textAlignment w:val="center"/>
              <w:rPr>
                <w:rFonts w:ascii="Aptos" w:hAnsi="Aptos" w:eastAsia="Aptos" w:cs=""/>
                <w:kern w:val="0"/>
                <w:sz w:val="24"/>
                <w:szCs w:val="24"/>
                <w:lang w:val="pt-BR" w:eastAsia="en-US" w:bidi="ar-SA"/>
              </w:rPr>
            </w:pPr>
            <w:r>
              <w:rPr>
                <w:rFonts w:eastAsia="Aptos" w:cs=""/>
                <w:kern w:val="0"/>
                <w:sz w:val="24"/>
                <w:szCs w:val="24"/>
                <w:lang w:val="pt-BR" w:eastAsia="en-US" w:bidi="ar-SA"/>
              </w:rPr>
              <w:drawing>
                <wp:inline distT="0" distB="0" distL="0" distR="0">
                  <wp:extent cx="152400" cy="152400"/>
                  <wp:effectExtent l="0" t="0" r="0" b="0"/>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26"/>
                          <a:stretch>
                            <a:fillRect/>
                          </a:stretch>
                        </pic:blipFill>
                        <pic:spPr bwMode="auto">
                          <a:xfrm>
                            <a:off x="0" y="0"/>
                            <a:ext cx="152400" cy="152400"/>
                          </a:xfrm>
                          <a:prstGeom prst="rect">
                            <a:avLst/>
                          </a:prstGeom>
                          <a:noFill/>
                        </pic:spPr>
                      </pic:pic>
                    </a:graphicData>
                  </a:graphic>
                </wp:inline>
              </w:drawing>
            </w:r>
            <w:r>
              <w:rPr>
                <w:rFonts w:eastAsia="Aptos" w:cs=""/>
                <w:kern w:val="0"/>
                <w:sz w:val="24"/>
                <w:szCs w:val="24"/>
                <w:lang w:val="pt-BR" w:eastAsia="en-US" w:bidi="ar-SA"/>
              </w:rPr>
              <w:t xml:space="preserve">  </w:t>
            </w:r>
            <w:r>
              <w:rPr>
                <w:rFonts w:eastAsia="Aptos" w:cs=""/>
                <w:kern w:val="0"/>
                <w:sz w:val="24"/>
                <w:szCs w:val="24"/>
                <w:lang w:val="pt-BR" w:eastAsia="en-US" w:bidi="ar-SA"/>
              </w:rPr>
              <w:t>Como vamos reinputar esses dados na amostra?</w:t>
            </w:r>
          </w:p>
        </w:tc>
      </w:tr>
      <w:tr>
        <w:trPr>
          <w:cantSplit/>
        </w:trPr>
        <w:tc>
          <w:tcPr>
            <w:tcW w:w="9360" w:type="dxa"/>
            <w:tcBorders>
              <w:left w:val="single" w:sz="24" w:space="0" w:color="EB9113"/>
              <w:bottom w:val="single" w:sz="4" w:space="0" w:color="EB9113"/>
              <w:right w:val="single" w:sz="4" w:space="0" w:color="EB9113"/>
            </w:tcBorders>
            <w:tcMar>
              <w:top w:w="108" w:type="dxa"/>
              <w:bottom w:w="108" w:type="dxa"/>
            </w:tcMar>
          </w:tcPr>
          <w:p>
            <w:pPr>
              <w:pStyle w:val="BodyText"/>
              <w:widowControl/>
              <w:spacing w:before="16" w:after="180"/>
              <w:jc w:val="left"/>
              <w:rPr>
                <w:rFonts w:ascii="Aptos" w:hAnsi="Aptos" w:eastAsia="Aptos" w:cs=""/>
                <w:kern w:val="0"/>
                <w:sz w:val="24"/>
                <w:szCs w:val="24"/>
                <w:lang w:val="pt-BR" w:eastAsia="en-US" w:bidi="ar-SA"/>
              </w:rPr>
            </w:pPr>
            <w:r>
              <w:rPr>
                <w:rFonts w:eastAsia="Aptos" w:cs=""/>
                <w:kern w:val="0"/>
                <w:sz w:val="24"/>
                <w:szCs w:val="24"/>
                <w:lang w:val="pt-BR" w:eastAsia="en-US" w:bidi="ar-SA"/>
              </w:rPr>
              <w:t>Possíveis técnicas para considerar:</w:t>
            </w:r>
          </w:p>
          <w:p>
            <w:pPr>
              <w:pStyle w:val="Compact"/>
              <w:widowControl/>
              <w:numPr>
                <w:ilvl w:val="0"/>
                <w:numId w:val="1"/>
              </w:numPr>
              <w:jc w:val="left"/>
              <w:rPr>
                <w:rFonts w:ascii="Aptos" w:hAnsi="Aptos" w:eastAsia="Aptos" w:cs=""/>
                <w:kern w:val="0"/>
                <w:sz w:val="24"/>
                <w:szCs w:val="24"/>
                <w:lang w:val="pt-BR" w:eastAsia="en-US" w:bidi="ar-SA"/>
              </w:rPr>
            </w:pPr>
            <w:r>
              <w:rPr>
                <w:rFonts w:eastAsia="Aptos" w:cs=""/>
                <w:kern w:val="0"/>
                <w:sz w:val="24"/>
                <w:szCs w:val="24"/>
                <w:lang w:val="pt-BR" w:eastAsia="en-US" w:bidi="ar-SA"/>
              </w:rPr>
              <w:t>imputação simples por medida de tendência central com média ou mediana,</w:t>
            </w:r>
          </w:p>
          <w:p>
            <w:pPr>
              <w:pStyle w:val="Compact"/>
              <w:widowControl/>
              <w:numPr>
                <w:ilvl w:val="0"/>
                <w:numId w:val="1"/>
              </w:numPr>
              <w:jc w:val="left"/>
              <w:rPr>
                <w:rFonts w:ascii="Aptos" w:hAnsi="Aptos" w:eastAsia="Aptos" w:cs=""/>
                <w:kern w:val="0"/>
                <w:sz w:val="24"/>
                <w:szCs w:val="24"/>
                <w:lang w:val="pt-BR" w:eastAsia="en-US" w:bidi="ar-SA"/>
              </w:rPr>
            </w:pPr>
            <w:r>
              <w:rPr>
                <w:rFonts w:eastAsia="Aptos" w:cs=""/>
                <w:kern w:val="0"/>
                <w:sz w:val="24"/>
                <w:szCs w:val="24"/>
                <w:lang w:val="pt-BR" w:eastAsia="en-US" w:bidi="ar-SA"/>
              </w:rPr>
              <w:t>imputação por agrupamento condicional (mediana por grupos),</w:t>
            </w:r>
          </w:p>
          <w:p>
            <w:pPr>
              <w:pStyle w:val="Compact"/>
              <w:widowControl/>
              <w:numPr>
                <w:ilvl w:val="0"/>
                <w:numId w:val="1"/>
              </w:numPr>
              <w:jc w:val="left"/>
              <w:rPr>
                <w:rFonts w:ascii="Aptos" w:hAnsi="Aptos" w:eastAsia="Aptos" w:cs=""/>
                <w:kern w:val="0"/>
                <w:sz w:val="24"/>
                <w:szCs w:val="24"/>
                <w:lang w:val="pt-BR" w:eastAsia="en-US" w:bidi="ar-SA"/>
              </w:rPr>
            </w:pPr>
            <w:r>
              <w:rPr>
                <w:rFonts w:eastAsia="Aptos" w:cs=""/>
                <w:kern w:val="0"/>
                <w:sz w:val="24"/>
                <w:szCs w:val="24"/>
                <w:lang w:val="pt-BR" w:eastAsia="en-US" w:bidi="ar-SA"/>
              </w:rPr>
              <w:t>imputação baseada em modelos/algoritmos (k-nn, random forest ou mice),</w:t>
            </w:r>
          </w:p>
          <w:p>
            <w:pPr>
              <w:pStyle w:val="Compact"/>
              <w:widowControl/>
              <w:numPr>
                <w:ilvl w:val="0"/>
                <w:numId w:val="1"/>
              </w:numPr>
              <w:spacing w:before="36" w:after="36"/>
              <w:jc w:val="left"/>
              <w:rPr>
                <w:rFonts w:ascii="Aptos" w:hAnsi="Aptos" w:eastAsia="Aptos" w:cs=""/>
                <w:kern w:val="0"/>
                <w:sz w:val="24"/>
                <w:szCs w:val="24"/>
                <w:lang w:val="pt-BR" w:eastAsia="en-US" w:bidi="ar-SA"/>
              </w:rPr>
            </w:pPr>
            <w:r>
              <w:rPr>
                <w:rFonts w:eastAsia="Aptos" w:cs=""/>
                <w:kern w:val="0"/>
                <w:sz w:val="24"/>
                <w:szCs w:val="24"/>
                <w:lang w:val="pt-BR" w:eastAsia="en-US" w:bidi="ar-SA"/>
              </w:rPr>
              <w:t>outros.</w:t>
            </w:r>
            <w:bookmarkStart w:id="40" w:name="análise-exploratória"/>
            <w:bookmarkEnd w:id="40"/>
          </w:p>
        </w:tc>
      </w:tr>
    </w:tbl>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Calibri">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pt-BR"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pt-BR"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3B4F"/>
      <w:shd w:fill="F1F3F5" w:val="clear"/>
    </w:rPr>
  </w:style>
  <w:style w:type="character" w:styleId="DataTypeTok" w:customStyle="1">
    <w:name w:val="DataTypeTok"/>
    <w:basedOn w:val="VerbatimChar"/>
    <w:qFormat/>
    <w:rPr>
      <w:color w:val="AD0000"/>
      <w:shd w:fill="F1F3F5" w:val="clear"/>
    </w:rPr>
  </w:style>
  <w:style w:type="character" w:styleId="DecValTok" w:customStyle="1">
    <w:name w:val="DecValTok"/>
    <w:basedOn w:val="VerbatimChar"/>
    <w:qFormat/>
    <w:rPr>
      <w:color w:val="AD0000"/>
      <w:shd w:fill="F1F3F5" w:val="clear"/>
    </w:rPr>
  </w:style>
  <w:style w:type="character" w:styleId="BaseNTok" w:customStyle="1">
    <w:name w:val="BaseNTok"/>
    <w:basedOn w:val="VerbatimChar"/>
    <w:qFormat/>
    <w:rPr>
      <w:color w:val="AD0000"/>
      <w:shd w:fill="F1F3F5" w:val="clear"/>
    </w:rPr>
  </w:style>
  <w:style w:type="character" w:styleId="FloatTok" w:customStyle="1">
    <w:name w:val="FloatTok"/>
    <w:basedOn w:val="VerbatimChar"/>
    <w:qFormat/>
    <w:rPr>
      <w:color w:val="AD0000"/>
      <w:shd w:fill="F1F3F5" w:val="clear"/>
    </w:rPr>
  </w:style>
  <w:style w:type="character" w:styleId="ConstantTok" w:customStyle="1">
    <w:name w:val="ConstantTok"/>
    <w:basedOn w:val="VerbatimChar"/>
    <w:qFormat/>
    <w:rPr>
      <w:color w:val="8F5902"/>
      <w:shd w:fill="F1F3F5" w:val="clear"/>
    </w:rPr>
  </w:style>
  <w:style w:type="character" w:styleId="CharTok" w:customStyle="1">
    <w:name w:val="CharTok"/>
    <w:basedOn w:val="VerbatimChar"/>
    <w:qFormat/>
    <w:rPr>
      <w:color w:val="20794D"/>
      <w:shd w:fill="F1F3F5" w:val="clear"/>
    </w:rPr>
  </w:style>
  <w:style w:type="character" w:styleId="SpecialCharTok" w:customStyle="1">
    <w:name w:val="SpecialCharTok"/>
    <w:basedOn w:val="VerbatimChar"/>
    <w:qFormat/>
    <w:rPr>
      <w:color w:val="5E5E5E"/>
      <w:shd w:fill="F1F3F5" w:val="clear"/>
    </w:rPr>
  </w:style>
  <w:style w:type="character" w:styleId="StringTok" w:customStyle="1">
    <w:name w:val="StringTok"/>
    <w:basedOn w:val="VerbatimChar"/>
    <w:qFormat/>
    <w:rPr>
      <w:color w:val="20794D"/>
      <w:shd w:fill="F1F3F5" w:val="clear"/>
    </w:rPr>
  </w:style>
  <w:style w:type="character" w:styleId="VerbatimStringTok" w:customStyle="1">
    <w:name w:val="VerbatimStringTok"/>
    <w:basedOn w:val="VerbatimChar"/>
    <w:qFormat/>
    <w:rPr>
      <w:color w:val="20794D"/>
      <w:shd w:fill="F1F3F5" w:val="clear"/>
    </w:rPr>
  </w:style>
  <w:style w:type="character" w:styleId="SpecialStringTok" w:customStyle="1">
    <w:name w:val="SpecialStringTok"/>
    <w:basedOn w:val="VerbatimChar"/>
    <w:qFormat/>
    <w:rPr>
      <w:color w:val="20794D"/>
      <w:shd w:fill="F1F3F5" w:val="clear"/>
    </w:rPr>
  </w:style>
  <w:style w:type="character" w:styleId="ImportTok" w:customStyle="1">
    <w:name w:val="ImportTok"/>
    <w:basedOn w:val="VerbatimChar"/>
    <w:qFormat/>
    <w:rPr>
      <w:color w:val="00769E"/>
      <w:shd w:fill="F1F3F5" w:val="clear"/>
    </w:rPr>
  </w:style>
  <w:style w:type="character" w:styleId="CommentTok" w:customStyle="1">
    <w:name w:val="CommentTok"/>
    <w:basedOn w:val="VerbatimChar"/>
    <w:qFormat/>
    <w:rPr>
      <w:color w:val="5E5E5E"/>
      <w:shd w:fill="F1F3F5" w:val="clear"/>
    </w:rPr>
  </w:style>
  <w:style w:type="character" w:styleId="DocumentationTok" w:customStyle="1">
    <w:name w:val="DocumentationTok"/>
    <w:basedOn w:val="VerbatimChar"/>
    <w:qFormat/>
    <w:rPr>
      <w:i/>
      <w:color w:val="5E5E5E"/>
      <w:shd w:fill="F1F3F5" w:val="clear"/>
    </w:rPr>
  </w:style>
  <w:style w:type="character" w:styleId="AnnotationTok" w:customStyle="1">
    <w:name w:val="AnnotationTok"/>
    <w:basedOn w:val="VerbatimChar"/>
    <w:qFormat/>
    <w:rPr>
      <w:color w:val="5E5E5E"/>
      <w:shd w:fill="F1F3F5" w:val="clear"/>
    </w:rPr>
  </w:style>
  <w:style w:type="character" w:styleId="CommentVarTok" w:customStyle="1">
    <w:name w:val="CommentVarTok"/>
    <w:basedOn w:val="VerbatimChar"/>
    <w:qFormat/>
    <w:rPr>
      <w:i/>
      <w:color w:val="5E5E5E"/>
      <w:shd w:fill="F1F3F5" w:val="clear"/>
    </w:rPr>
  </w:style>
  <w:style w:type="character" w:styleId="OtherTok" w:customStyle="1">
    <w:name w:val="OtherTok"/>
    <w:basedOn w:val="VerbatimChar"/>
    <w:qFormat/>
    <w:rPr>
      <w:color w:val="003B4F"/>
      <w:shd w:fill="F1F3F5" w:val="clear"/>
    </w:rPr>
  </w:style>
  <w:style w:type="character" w:styleId="FunctionTok" w:customStyle="1">
    <w:name w:val="FunctionTok"/>
    <w:basedOn w:val="VerbatimChar"/>
    <w:qFormat/>
    <w:rPr>
      <w:color w:val="4758AB"/>
      <w:shd w:fill="F1F3F5" w:val="clear"/>
    </w:rPr>
  </w:style>
  <w:style w:type="character" w:styleId="VariableTok" w:customStyle="1">
    <w:name w:val="VariableTok"/>
    <w:basedOn w:val="VerbatimChar"/>
    <w:qFormat/>
    <w:rPr>
      <w:color w:val="111111"/>
      <w:shd w:fill="F1F3F5" w:val="clear"/>
    </w:rPr>
  </w:style>
  <w:style w:type="character" w:styleId="ControlFlowTok" w:customStyle="1">
    <w:name w:val="ControlFlowTok"/>
    <w:basedOn w:val="VerbatimChar"/>
    <w:qFormat/>
    <w:rPr>
      <w:b/>
      <w:color w:val="003B4F"/>
      <w:shd w:fill="F1F3F5" w:val="clear"/>
    </w:rPr>
  </w:style>
  <w:style w:type="character" w:styleId="OperatorTok" w:customStyle="1">
    <w:name w:val="OperatorTok"/>
    <w:basedOn w:val="VerbatimChar"/>
    <w:qFormat/>
    <w:rPr>
      <w:color w:val="5E5E5E"/>
      <w:shd w:fill="F1F3F5" w:val="clear"/>
    </w:rPr>
  </w:style>
  <w:style w:type="character" w:styleId="BuiltInTok" w:customStyle="1">
    <w:name w:val="BuiltInTok"/>
    <w:basedOn w:val="VerbatimChar"/>
    <w:qFormat/>
    <w:rPr>
      <w:color w:val="003B4F"/>
      <w:shd w:fill="F1F3F5" w:val="clear"/>
    </w:rPr>
  </w:style>
  <w:style w:type="character" w:styleId="ExtensionTok" w:customStyle="1">
    <w:name w:val="ExtensionTok"/>
    <w:basedOn w:val="VerbatimChar"/>
    <w:qFormat/>
    <w:rPr>
      <w:color w:val="003B4F"/>
      <w:shd w:fill="F1F3F5" w:val="clear"/>
    </w:rPr>
  </w:style>
  <w:style w:type="character" w:styleId="PreprocessorTok" w:customStyle="1">
    <w:name w:val="PreprocessorTok"/>
    <w:basedOn w:val="VerbatimChar"/>
    <w:qFormat/>
    <w:rPr>
      <w:color w:val="AD0000"/>
      <w:shd w:fill="F1F3F5" w:val="clear"/>
    </w:rPr>
  </w:style>
  <w:style w:type="character" w:styleId="AttributeTok" w:customStyle="1">
    <w:name w:val="AttributeTok"/>
    <w:basedOn w:val="VerbatimChar"/>
    <w:qFormat/>
    <w:rPr>
      <w:color w:val="657422"/>
      <w:shd w:fill="F1F3F5" w:val="clear"/>
    </w:rPr>
  </w:style>
  <w:style w:type="character" w:styleId="RegionMarkerTok" w:customStyle="1">
    <w:name w:val="RegionMarkerTok"/>
    <w:basedOn w:val="VerbatimChar"/>
    <w:qFormat/>
    <w:rPr>
      <w:color w:val="003B4F"/>
      <w:shd w:fill="F1F3F5" w:val="clear"/>
    </w:rPr>
  </w:style>
  <w:style w:type="character" w:styleId="InformationTok" w:customStyle="1">
    <w:name w:val="InformationTok"/>
    <w:basedOn w:val="VerbatimChar"/>
    <w:qFormat/>
    <w:rPr>
      <w:color w:val="5E5E5E"/>
      <w:shd w:fill="F1F3F5" w:val="clear"/>
    </w:rPr>
  </w:style>
  <w:style w:type="character" w:styleId="WarningTok" w:customStyle="1">
    <w:name w:val="WarningTok"/>
    <w:basedOn w:val="VerbatimChar"/>
    <w:qFormat/>
    <w:rPr>
      <w:i/>
      <w:color w:val="5E5E5E"/>
      <w:shd w:fill="F1F3F5" w:val="clear"/>
    </w:rPr>
  </w:style>
  <w:style w:type="character" w:styleId="AlertTok" w:customStyle="1">
    <w:name w:val="AlertTok"/>
    <w:basedOn w:val="VerbatimChar"/>
    <w:qFormat/>
    <w:rPr>
      <w:color w:val="AD0000"/>
      <w:shd w:fill="F1F3F5" w:val="clear"/>
    </w:rPr>
  </w:style>
  <w:style w:type="character" w:styleId="ErrorTok" w:customStyle="1">
    <w:name w:val="ErrorTok"/>
    <w:basedOn w:val="VerbatimChar"/>
    <w:qFormat/>
    <w:rPr>
      <w:color w:val="AD0000"/>
      <w:shd w:fill="F1F3F5" w:val="clear"/>
    </w:rPr>
  </w:style>
  <w:style w:type="character" w:styleId="NormalTok" w:customStyle="1">
    <w:name w:val="NormalTok"/>
    <w:basedOn w:val="VerbatimChar"/>
    <w:qFormat/>
    <w:rPr>
      <w:color w:val="003B4F"/>
      <w:shd w:fill="F1F3F5" w:val="clear"/>
    </w:rPr>
  </w:style>
  <w:style w:type="paragraph" w:styleId="Heading">
    <w:name w:val="Heading"/>
    <w:basedOn w:val="Normal"/>
    <w:next w:val="BodyText"/>
    <w:qFormat/>
    <w:pPr>
      <w:keepNext w:val="true"/>
      <w:spacing w:before="240" w:after="120"/>
    </w:pPr>
    <w:rPr>
      <w:rFonts w:ascii="Liberation Sans" w:hAnsi="Liberation Sans" w:eastAsia="AR PL SungtiL GB"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hd w:val="clear" w:fill="F1F3F5"/>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kaggle.com/datasets/laotse/credit-risk-dataset?utm_source=gemini"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LibreOffice/26.2.5.1$Linux_X86_64 LibreOffice_project/620$Build-1</Application>
  <AppVersion>15.0000</AppVersion>
  <Pages>29</Pages>
  <Words>3315</Words>
  <Characters>18395</Characters>
  <CharactersWithSpaces>21317</CharactersWithSpaces>
  <Paragraphs>394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2026-09-22T06:58:57Z</dcterms:created>
  <dc:creator>Alisson Lucas da Costa Santos</dc:creator>
  <dc:description/>
  <dc:language>pt-BR</dc:language>
  <cp:lastModifiedBy/>
  <dcterms:modified xsi:type="dcterms:W3CDTF">2026-09-22T06:01:26Z</dcterms:modified>
  <cp:revision>1</cp:revision>
  <dc:subject/>
  <dc:title>Título provisório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olorlinks">
    <vt:lpwstr>True</vt:lpwstr>
  </property>
  <property fmtid="{D5CDD505-2E9C-101B-9397-08002B2CF9AE}" pid="6" name="editor">
    <vt:lpwstr>source</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TCC 01</vt:lpwstr>
  </property>
  <property fmtid="{D5CDD505-2E9C-101B-9397-08002B2CF9AE}" pid="13" name="toc-title">
    <vt:lpwstr>Tabela de conteúdos</vt:lpwstr>
  </property>
</Properties>
</file>