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ns1="http://schemas.openxmlformats.org/officeDocument/2006/relationships" xmlns:w="http://schemas.openxmlformats.org/wordprocessingml/2006/main">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ind w:firstLine="709"/>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ind w:firstLine="709"/>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ind w:firstLine="709"/>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ind w:firstLine="709"/>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ind w:firstLine="709"/>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ind w:firstLine="709"/>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ind w:firstLine="709"/>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ind w:firstLine="709"/>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ind w:firstLine="709"/>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ind w:firstLine="709"/>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ind w:firstLine="709"/>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ind w:firstLine="709"/>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ind w:firstLine="709"/>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ind w:firstLine="709"/>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ind w:firstLine="709"/>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ind w:firstLine="709"/>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ind w:firstLine="709"/>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ind w:firstLine="709"/>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ind w:firstLine="709"/>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ind w:firstLine="709"/>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ind w:firstLine="709"/>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ind w:firstLine="709"/>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ind w:firstLine="709"/>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ind w:firstLine="709"/>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ind w:firstLine="709"/>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ind w:firstLine="709"/>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ind w:firstLine="709"/>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ind w:firstLine="709"/>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ind w:firstLine="709"/>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ind w:firstLine="709"/>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ind w:firstLine="709"/>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ind w:firstLine="709"/>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ind w:firstLine="709"/>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ind w:firstLine="709"/>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ind w:firstLine="709"/>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spacing w:after="0"/>
        <w:ind w:firstLine="709"/>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spacing w:after="0"/>
        <w:ind w:firstLine="709"/>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spacing w:after="0"/>
        <w:ind w:firstLine="709"/>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spacing w:after="0"/>
        <w:ind w:firstLine="709"/>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spacing w:after="0"/>
        <w:ind w:firstLine="709"/>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spacing w:after="0"/>
        <w:ind w:firstLine="709"/>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spacing w:after="0"/>
        <w:ind w:firstLine="709"/>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spacing w:after="0"/>
        <w:ind w:firstLine="709"/>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spacing w:after="0"/>
        <w:ind w:firstLine="709"/>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spacing w:after="0"/>
        <w:ind w:firstLine="709"/>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spacing w:after="0"/>
        <w:ind w:firstLine="709"/>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spacing w:after="0"/>
        <w:ind w:firstLine="709"/>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spacing w:after="0"/>
        <w:ind w:firstLine="709"/>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spacing w:after="0"/>
        <w:ind w:firstLine="709"/>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spacing w:after="0"/>
        <w:ind w:firstLine="709"/>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spacing w:after="0"/>
        <w:ind w:firstLine="709"/>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spacing w:after="0"/>
        <w:ind w:firstLine="709"/>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spacing w:after="0"/>
        <w:ind w:firstLine="709"/>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spacing w:after="0"/>
        <w:ind w:firstLine="709"/>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spacing w:after="120"/>
      </w:pPr>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pPr>
        <w:spacing w:after="120"/>
      </w:pPr>
      <w:r>
        <w:t xml:space="preserve">El producto se ha diseñado para que el usuario seleccione ubicación, cultivo y periodo. Esos parámetros determinan la estación SiAR, el municipio AEMET, el calendario de cultivo y los datos que se consultan. Para validar el flujo se fija un piloto reproducible de pimiento al aire libre en Almería, estación </w:t>
      </w:r>
      <w:r>
        <w:rPr>
          <w:rFonts w:ascii="Consolas" w:hAnsi="Consolas"/>
          <w:sz w:val="19"/>
        </w:rPr>
        <w:t>AL01</w:t>
      </w:r>
      <w:r>
        <w:t xml:space="preserve"> La Mojonera, entre mayo y septiembre de 2025. La web de SiAR identifica el cultivo como </w:t>
      </w:r>
      <w:r>
        <w:rPr>
          <w:rFonts w:ascii="Consolas" w:hAnsi="Consolas"/>
          <w:sz w:val="19"/>
        </w:rPr>
        <w:t>Pimiento</w:t>
      </w:r>
      <w:r>
        <w:t xml:space="preserve"> sin declarar el sistema productivo; su tratamiento como aire libre es una decisión de alcance del piloto, coherente con el uso de meteorología y precipitación exterior.</w:t>
      </w:r>
    </w:p>
    <w:p>
      <w:pPr>
        <w:pStyle w:val="Heading3"/>
        <w:keepNext/>
      </w:pPr>
      <w:r>
        <w:rPr>
          <w:rFonts w:ascii="Times New Roman" w:hAnsi="Times New Roman"/>
          <w:color w:val="000000"/>
          <w:sz w:val="24"/>
        </w:rPr>
        <w:t>3.1.1. Fuentes incorporadas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Fuente y producto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Naturaleza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Información principal</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Función en el sistema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Estado</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SiAR Web API</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Observada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Estaciones, temperatura, humedad, viento, radiación, precipitación, ET0 y precipitación efectiva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Histórico agroclimático y trazabilidad espacial</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Integrada y probada.</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SiAR, cálculo de necesidades hídricas</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Referencia agronómica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Kc, ET0, ETc, precipitación efectiva y necesidad neta por cultivo y zona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Baseline agronómico y etiqueta de referencia del piloto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Incorporada mediante CSV oficial.</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AEMET OpenData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Predictiva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Predicción municipal diaria y horaria, temperatura, humedad, lluvia, probabilidad, viento y horizonte</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Anticipación meteorológica y futura recomendación</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Integrada y normalizada; todavía no alineada con el histórico 2025.</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MITECO y datos de parcela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Contextual</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Disponibilidad de agua, restricciones, suelo, instalación y riego aplicado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Restricciones operativas y validación real</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Evolución prevista; no forma parte del conjunto actual.</w:t>
            </w:r>
          </w:p>
        </w:tc>
      </w:tr>
    </w:tbl>
    <w:p>
      <w:pPr>
        <w:spacing w:after="40"/>
      </w:pPr>
    </w:p>
    <w:p>
      <w:pPr>
        <w:spacing w:after="120"/>
      </w:pPr>
      <w:r>
        <w:t xml:space="preserve">Los inventarios completos de campos, endpoints, significado y prioridad ya se mantienen en </w:t>
      </w:r>
      <w:r>
        <w:rPr>
          <w:rFonts w:ascii="Consolas" w:hAnsi="Consolas"/>
          <w:sz w:val="19"/>
        </w:rPr>
        <w:t>docs/FUENTE_DATOS_SIAR.md</w:t>
      </w:r>
      <w:r>
        <w:t xml:space="preserve"> y </w:t>
      </w:r>
      <w:r>
        <w:rPr>
          <w:rFonts w:ascii="Consolas" w:hAnsi="Consolas"/>
          <w:sz w:val="19"/>
        </w:rPr>
        <w:t>docs/FUENTE_DATOS_AEMET.md</w:t>
      </w:r>
      <w:r>
        <w:t xml:space="preserve">. La estrategia de combinación se documenta en </w:t>
      </w:r>
      <w:r>
        <w:rPr>
          <w:rFonts w:ascii="Consolas" w:hAnsi="Consolas"/>
          <w:sz w:val="19"/>
        </w:rPr>
        <w:t>docs/ESTRATEGIA_DATOS_DSS.md</w:t>
      </w:r>
      <w:r>
        <w:t>; por tanto, este apartado resume las decisiones metodológicas sin duplicar esos diccionarios técnicos.</w:t>
      </w:r>
    </w:p>
    <w:p>
      <w:pPr>
        <w:pStyle w:val="Heading3"/>
        <w:keepNext/>
      </w:pPr>
      <w:r>
        <w:rPr>
          <w:rFonts w:ascii="Times New Roman" w:hAnsi="Times New Roman"/>
          <w:color w:val="000000"/>
          <w:sz w:val="24"/>
        </w:rPr>
        <w:t>3.1.2. Familias de variables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Familia</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Ejemplos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Disponibilidad</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Uso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Identificación y contexto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fuente, estación, municipio, cultivo, fecha y periodo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Conocida antes del cálculo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Claves, selección dinámica y segmentación.</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Meteorología observada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temperatura, humedad, viento, radiación, precipitación y ET0</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Disponible después de observar el día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Análisis histórico, retardos y validación.</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Predicción meteorológica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fecha de emisión, fecha válida, horizonte, lluvia, temperatura, humedad y viento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Disponible antes de la fecha válida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Recomendación futura y análisis de incertidumbre.</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Agronómicas</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ETc, precipitación efectiva y necesidad neta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planificado; el resto se calcula u observa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Baseline, diagnóstico y variable objetivo.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Temporales y derivadas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día del año, codificación cíclica, retardos y ventanas móviles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Calculadas de forma reproducible</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Predictores sin utilizar información futura.</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Calidad y trazabilidad</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estado, incidencias, fecha de ingesta y archivo de origen</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Generadas durante la ETL</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Auditoría; no se emplean como predictores.</w:t>
            </w:r>
          </w:p>
        </w:tc>
      </w:tr>
    </w:tbl>
    <w:p>
      <w:pPr>
        <w:spacing w:after="40"/>
      </w:pPr>
    </w:p>
    <w:p>
      <w:pPr>
        <w:spacing w:after="120"/>
      </w:pPr>
      <w:r>
        <w:t xml:space="preserve">La variable objetivo del experimento es </w:t>
      </w:r>
      <w:r>
        <w:rPr>
          <w:rFonts w:ascii="Consolas" w:hAnsi="Consolas"/>
          <w:sz w:val="19"/>
        </w:rPr>
        <w:t>target_net_irrigation_need_mm</w:t>
      </w:r>
      <w:r>
        <w:t xml:space="preserve">,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w:t>
      </w:r>
      <w:r>
        <w:rPr>
          <w:rFonts w:ascii="Consolas" w:hAnsi="Consolas"/>
          <w:sz w:val="19"/>
        </w:rPr>
        <w:t>docs/data_samples/feature_catalog_4_2.csv</w:t>
      </w:r>
      <w:r>
        <w:t xml:space="preserve"> documenta las 88 columnas de la tabla analítica, su tipo, disponibilidad, porcentaje de ausencias, función y riesgo de fuga de información.</w:t>
      </w:r>
    </w:p>
    <w:p>
      <w:pPr>
        <w:pStyle w:val="Heading3"/>
        <w:keepNext/>
      </w:pPr>
      <w:r>
        <w:rPr>
          <w:rFonts w:ascii="Times New Roman" w:hAnsi="Times New Roman"/>
          <w:color w:val="000000"/>
          <w:sz w:val="24"/>
        </w:rPr>
        <w:t>3.1.3. Calidad y trazabilidad</w:t>
      </w:r>
    </w:p>
    <w:p>
      <w:pPr>
        <w:spacing w:after="120"/>
      </w:pPr>
      <w:r>
        <w:t xml:space="preserve">Los controles se aplican sin destruir la respuesta original. La capa </w:t>
      </w:r>
      <w:r>
        <w:rPr>
          <w:rFonts w:ascii="Consolas" w:hAnsi="Consolas"/>
          <w:sz w:val="19"/>
        </w:rPr>
        <w:t>raw</w:t>
      </w:r>
      <w:r>
        <w:t xml:space="preserve"> permanece inmutable; las tablas </w:t>
      </w:r>
      <w:r>
        <w:rPr>
          <w:rFonts w:ascii="Consolas" w:hAnsi="Consolas"/>
          <w:sz w:val="19"/>
        </w:rPr>
        <w:t>interim</w:t>
      </w:r>
      <w:r>
        <w:t xml:space="preserve"> añaden tipos, unidades, indicadores de calidad y procedencia; y la capa </w:t>
      </w:r>
      <w:r>
        <w:rPr>
          <w:rFonts w:ascii="Consolas" w:hAnsi="Consolas"/>
          <w:sz w:val="19"/>
        </w:rPr>
        <w:t>processed</w:t>
      </w:r>
      <w:r>
        <w:t xml:space="preserve"> contiene las variables preparadas para análisis y modelado. Los registros con incidencias se conservan y se marcan, en lugar de convertir automáticamente una ausencia en cero.</w:t>
      </w:r>
    </w:p>
    <w:p>
      <w:pPr>
        <w:spacing w:after="120"/>
      </w:pPr>
      <w:r>
        <w:t>Se comprueban, al menos, los siguientes aspectos:</w:t>
      </w:r>
    </w:p>
    <w:p>
      <w:pPr>
        <w:spacing w:after="60"/>
        <w:ind w:left="360" w:hanging="259"/>
      </w:pPr>
      <w:r>
        <w:t>1. presencia de variables críticas y validez de tipos;</w:t>
      </w:r>
    </w:p>
    <w:p>
      <w:pPr>
        <w:spacing w:after="60"/>
        <w:ind w:left="360" w:hanging="259"/>
      </w:pPr>
      <w:r>
        <w:t>2. unicidad de las claves lógicas y ausencia de duplicados;</w:t>
      </w:r>
    </w:p>
    <w:p>
      <w:pPr>
        <w:spacing w:after="60"/>
        <w:ind w:left="360" w:hanging="259"/>
      </w:pPr>
      <w:r>
        <w:t>3. continuidad del calendario y cobertura temporal;</w:t>
      </w:r>
    </w:p>
    <w:p>
      <w:pPr>
        <w:spacing w:after="60"/>
        <w:ind w:left="360" w:hanging="259"/>
      </w:pPr>
      <w:r>
        <w:t>4. rangos físicos de temperatura, humedad, viento, radiación y precipitación;</w:t>
      </w:r>
    </w:p>
    <w:p>
      <w:pPr>
        <w:spacing w:after="60"/>
        <w:ind w:left="360" w:hanging="259"/>
      </w:pPr>
      <w:r>
        <w:t>5. coherencia entre temperatura mínima, media y máxima;</w:t>
      </w:r>
    </w:p>
    <w:p>
      <w:pPr>
        <w:spacing w:after="60"/>
        <w:ind w:left="360" w:hanging="259"/>
      </w:pPr>
      <w:r>
        <w:t>6. no negatividad de ET0, precipitación y necesidad hídrica;</w:t>
      </w:r>
    </w:p>
    <w:p>
      <w:pPr>
        <w:spacing w:after="60"/>
        <w:ind w:left="360" w:hanging="259"/>
      </w:pPr>
      <w:r>
        <w:t xml:space="preserve">7. identidades aproximadas </w:t>
      </w:r>
      <w:r>
        <w:rPr>
          <w:rFonts w:ascii="Consolas" w:hAnsi="Consolas"/>
          <w:sz w:val="19"/>
        </w:rPr>
        <w:t>ETc = ET0 × Kc</w:t>
      </w:r>
      <w:r>
        <w:t xml:space="preserve"> y </w:t>
      </w:r>
      <w:r>
        <w:rPr>
          <w:rFonts w:ascii="Consolas" w:hAnsi="Consolas"/>
          <w:sz w:val="19"/>
        </w:rPr>
        <w:t>necesidad_neta = max(ETc − Pe, 0)</w:t>
      </w:r>
      <w:r>
        <w:t>;</w:t>
      </w:r>
    </w:p>
    <w:p>
      <w:pPr>
        <w:spacing w:after="60"/>
        <w:ind w:left="360" w:hanging="259"/>
      </w:pPr>
      <w:r>
        <w:t>8. disponibilidad de cada predictor en el instante de predicción;</w:t>
      </w:r>
    </w:p>
    <w:p>
      <w:pPr>
        <w:spacing w:after="60"/>
        <w:ind w:left="360" w:hanging="259"/>
      </w:pPr>
      <w:r>
        <w:t>9. conservación de fuente, fecha de ingesta y archivo original.</w:t>
      </w:r>
    </w:p>
    <w:p>
      <w:pPr>
        <w:spacing w:after="120"/>
      </w:pPr>
      <w:r>
        <w:t xml:space="preserve">La auditoría reproducible se genera mediante </w:t>
      </w:r>
      <w:r>
        <w:rPr>
          <w:rFonts w:ascii="Consolas" w:hAnsi="Consolas"/>
          <w:sz w:val="19"/>
        </w:rPr>
        <w:t>src/analysis/build_etl_audit_4_1.py</w:t>
      </w:r>
      <w:r>
        <w:t xml:space="preserve"> y queda registrada en </w:t>
      </w:r>
      <w:r>
        <w:rPr>
          <w:rFonts w:ascii="Consolas" w:hAnsi="Consolas"/>
          <w:sz w:val="19"/>
        </w:rPr>
        <w:t>docs/data_samples/etl_volume_summary_4_1.csv</w:t>
      </w:r>
      <w:r>
        <w:t>. Los resultados cuantitativos de la extracción y la limpieza se presentan en el apartado 4.1, mientras que el análisis de distribuciones, ausencias y relaciones entre variables se desarrolla en el apartado 4.2.</w:t>
      </w:r>
    </w:p>
    <w:p>
      <w:pPr>
        <w:pStyle w:val="Heading3"/>
        <w:keepNext/>
      </w:pPr>
      <w:r>
        <w:rPr>
          <w:rFonts w:ascii="Times New Roman" w:hAnsi="Times New Roman"/>
          <w:color w:val="000000"/>
          <w:sz w:val="24"/>
        </w:rPr>
        <w:t>3.1.4. Gobierno, seguridad y limitaciones</w:t>
      </w:r>
    </w:p>
    <w:p>
      <w:pPr>
        <w:spacing w:after="120"/>
      </w:pPr>
      <w:r>
        <w:t>Las credenciales se leen desde variables de entorno y no se incluyen en Git, los datos ni los mensajes de error. Cada extracción guarda los parámetros de la consulta, la fecha de ingesta y el número de registros. Los archivos raw y las tablas completas generadas se mantienen fuera del control de versiones; se versionan código, esquemas, metadatos, muestras ligeras, métricas y figuras reproducibles.</w:t>
      </w:r>
    </w:p>
    <w:p>
      <w:pPr>
        <w:spacing w:after="120"/>
      </w:pPr>
      <w:r>
        <w:t>El conjunto actual permite validar el recorrido técnico, pero no demostrar una optimización agronómica generalizable. Solo contiene una estación, un cultivo y una campaña; la referencia SiAR es calculada; y no se dispone todavía de riego real, humedad del suelo, eficiencia de la instalación ni respuesta productiva. Estas limitaciones condicionan la evaluación del capítulo 4 y el alcance de las recomendaciones posteriores.</w:t>
      </w:r>
    </w:p>
    <w:p>
      <w:pPr>
        <w:pStyle w:val="Heading2"/>
      </w:pPr>
      <w:r>
        <w:t>3.2. Arquitectura, tecnologías y flujo de información</w:t>
      </w:r>
    </w:p>
    <w:p>
      <w:pPr>
        <w:spacing w:after="120"/>
      </w:pPr>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pPr>
        <w:keepNext w:val="0"/>
        <w:jc w:val="center"/>
      </w:pPr>
      <w:r>
        <w:drawing>
          <wp:inline xmlns:wp="http://schemas.openxmlformats.org/drawingml/2006/wordprocessingDrawing" xmlns:a="http://schemas.openxmlformats.org/drawingml/2006/main" xmlns:pic="http://schemas.openxmlformats.org/drawingml/2006/picture">
            <wp:extent cx="5577840" cy="3150254"/>
            <wp:docPr id="21" name="Picture 21"/>
            <wp:cNvGraphicFramePr>
              <a:graphicFrameLocks noChangeAspect="1"/>
            </wp:cNvGraphicFramePr>
            <a:graphic>
              <a:graphicData uri="http://schemas.openxmlformats.org/drawingml/2006/picture">
                <pic:pic>
                  <pic:nvPicPr>
                    <pic:cNvPr id="0" name="image.png"/>
                    <pic:cNvPicPr/>
                  </pic:nvPicPr>
                  <pic:blipFill>
                    <a:blip ns1:embed="rId17"/>
                    <a:stretch>
                      <a:fillRect/>
                    </a:stretch>
                  </pic:blipFill>
                  <pic:spPr>
                    <a:xfrm>
                      <a:off x="0" y="0"/>
                      <a:ext cx="5577840" cy="3150254"/>
                    </a:xfrm>
                    <a:prstGeom prst="rect"/>
                  </pic:spPr>
                </pic:pic>
              </a:graphicData>
            </a:graphic>
          </wp:inline>
        </w:drawing>
      </w:r>
    </w:p>
    <w:p>
      <w:pPr>
        <w:spacing w:after="120"/>
      </w:pPr>
      <w:r>
        <w:rPr>
          <w:i/>
        </w:rPr>
        <w:t>Figura 3.1. Arquitectura del prototipo. Las cajas azules representan componentes implementados y las cajas discontinuas identifican extensiones previstas.</w:t>
      </w:r>
    </w:p>
    <w:p>
      <w:pPr>
        <w:pStyle w:val="Heading3"/>
        <w:keepNext/>
      </w:pPr>
      <w:r>
        <w:rPr>
          <w:rFonts w:ascii="Times New Roman" w:hAnsi="Times New Roman"/>
          <w:color w:val="000000"/>
          <w:sz w:val="24"/>
        </w:rPr>
        <w:t>3.2.1. Capas de la arquitectura</w:t>
      </w:r>
    </w:p>
    <w:p>
      <w:pPr>
        <w:spacing w:after="60"/>
        <w:ind w:left="360" w:hanging="259"/>
      </w:pPr>
      <w:r>
        <w:t xml:space="preserve">1. </w:t>
      </w:r>
      <w:r>
        <w:rPr>
          <w:b/>
        </w:rPr>
        <w:t>Configuración.</w:t>
      </w:r>
      <w:r>
        <w:t xml:space="preserve"> La ubicación, el cultivo y el periodo se proporcionan como parámetros de ejecución. En la aplicación del DSS el usuario introduce además la fecha de emisión, el horizonte y los datos de la parcela; el cultivo y la estación quedan fijados por el caso piloto.</w:t>
      </w:r>
    </w:p>
    <w:p>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pPr>
        <w:spacing w:after="60"/>
        <w:ind w:left="360" w:hanging="259"/>
      </w:pPr>
      <w:r>
        <w:t xml:space="preserve">4. </w:t>
      </w:r>
      <w:r>
        <w:rPr>
          <w:b/>
        </w:rPr>
        <w:t>Almacenamiento por capas.</w:t>
      </w:r>
      <w:r>
        <w:t xml:space="preserve"> </w:t>
      </w:r>
      <w:r>
        <w:rPr>
          <w:rFonts w:ascii="Consolas" w:hAnsi="Consolas"/>
          <w:sz w:val="19"/>
        </w:rPr>
        <w:t>raw</w:t>
      </w:r>
      <w:r>
        <w:t xml:space="preserve"> conserva las respuestas; </w:t>
      </w:r>
      <w:r>
        <w:rPr>
          <w:rFonts w:ascii="Consolas" w:hAnsi="Consolas"/>
          <w:sz w:val="19"/>
        </w:rPr>
        <w:t>external</w:t>
      </w:r>
      <w:r>
        <w:t xml:space="preserve"> contiene el CSV agronómico; </w:t>
      </w:r>
      <w:r>
        <w:rPr>
          <w:rFonts w:ascii="Consolas" w:hAnsi="Consolas"/>
          <w:sz w:val="19"/>
        </w:rPr>
        <w:t>interim</w:t>
      </w:r>
      <w:r>
        <w:t xml:space="preserve"> almacena tablas normalizadas y controles de calidad; </w:t>
      </w:r>
      <w:r>
        <w:rPr>
          <w:rFonts w:ascii="Consolas" w:hAnsi="Consolas"/>
          <w:sz w:val="19"/>
        </w:rPr>
        <w:t>processed</w:t>
      </w:r>
      <w:r>
        <w:t xml:space="preserve"> contiene la tabla analítica y las variables derivadas.</w:t>
      </w:r>
    </w:p>
    <w:p>
      <w:pPr>
        <w:spacing w:after="60"/>
        <w:ind w:left="360" w:hanging="259"/>
      </w:pPr>
      <w:r>
        <w:t xml:space="preserve">5. </w:t>
      </w:r>
      <w:r>
        <w:rPr>
          <w:b/>
        </w:rPr>
        <w:t>Análisis y modelado.</w:t>
      </w:r>
      <w:r>
        <w:t xml:space="preserve"> Los módulos de características, análisis exploratorio y evaluación consumen la capa </w:t>
      </w:r>
      <w:r>
        <w:rPr>
          <w:rFonts w:ascii="Consolas" w:hAnsi="Consolas"/>
          <w:sz w:val="19"/>
        </w:rPr>
        <w:t>processed</w:t>
      </w:r>
      <w:r>
        <w:t>. Los modelos se comparan mediante validación temporal y generan métricas, predicciones y figuras.</w:t>
      </w:r>
    </w:p>
    <w:p>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pPr>
        <w:spacing w:after="120"/>
      </w:pPr>
      <w:r>
        <w:t>El flujo principal es unidireccional y reproducible:</w:t>
      </w:r>
    </w:p>
    <w:p>
      <w:pPr>
        <w:spacing w:before="80" w:after="140"/>
        <w:ind w:left="360" w:right="216"/>
        <w:jc w:val="left"/>
        <w:shd w:fill="F2F2F2"/>
      </w:pPr>
      <w:r>
        <w:rPr>
          <w:rFonts w:ascii="Consolas" w:hAnsi="Consolas"/>
          <w:sz w:val="17"/>
        </w:rPr>
        <w:t>parámetros -&gt; fuentes -&gt; raw/external -&gt; interim -&gt; processed</w:t>
        <w:br/>
      </w:r>
      <w:r>
        <w:rPr>
          <w:rFonts w:ascii="Consolas" w:hAnsi="Consolas"/>
          <w:sz w:val="17"/>
        </w:rPr>
        <w:t xml:space="preserve">           -&gt; análisis/modelos -&gt; evidencias -&gt; motor DSS -&gt; aplicación</w:t>
      </w:r>
    </w:p>
    <w:p>
      <w:pPr>
        <w:spacing w:after="120"/>
      </w:pPr>
      <w:r>
        <w:t>La procedencia se conserva en sentido inverso: una predicción puede relacionarse con la fila analítica, las tablas normalizadas y el archivo original que la generó.</w:t>
      </w:r>
    </w:p>
    <w:p>
      <w:pPr>
        <w:pStyle w:val="Heading3"/>
        <w:keepNext/>
      </w:pPr>
      <w:r>
        <w:rPr>
          <w:rFonts w:ascii="Times New Roman" w:hAnsi="Times New Roman"/>
          <w:color w:val="000000"/>
          <w:sz w:val="24"/>
        </w:rPr>
        <w:t>3.2.2. Tecnologías y grado de implementación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Tecnología</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Función</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Estado en el proyecto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Python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Clientes de APIs, transformación, calidad, características y automatización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pandas y NumPy</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Tablas, limpieza, agregación y preparación de variables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scikit-learn y XGBoost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Pipelines, validación temporal y comparación de modelos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Matplotlib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Figuras reproducibles para análisis y memoria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Streamlit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Aplicación de demostración del sistema de recomendación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Jupyter y Visual Studio Code</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Exploración, demostración y desarrollo local</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Git y GitHub</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Versionado, ramas, revisión e integración del trabajo</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Implementado.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MySQL</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Persistencia relacional de catálogos, recomendaciones y metadatos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Diseñado, pendiente de implementación.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Apache Hop</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Orquestación visual de cargas ETL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Propuesto; el flujo actual se ejecuta con módulos Python.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Power BI o Tableau</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Análisis agregado de las recomendaciones archivadas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Opcional; la consulta del prototipo se resuelve con Streamlit.</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Docker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Entorno reproducible de servicios y despliegue</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Previsto.</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PySpark</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Procesamiento distribuido si el volumen nacional lo justifica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Condicional; no necesario para el piloto actual.</w:t>
            </w:r>
          </w:p>
        </w:tc>
      </w:tr>
    </w:tbl>
    <w:p>
      <w:pPr>
        <w:spacing w:after="40"/>
      </w:pPr>
    </w:p>
    <w:p>
      <w:pPr>
        <w:spacing w:after="120"/>
      </w:pPr>
      <w:r>
        <w:t>Esta clasificación actualiza el planteamiento del anteproyecto. MySQL, Apache Hop, Docker, PySpark y un cuadro de mando en Power BI o Tableau forman parte de la arquitectura objetivo, pero no se consideran evidencias terminadas. En el estado actual, el prototipo reproducible se apoya en módulos Python, almacenamiento local por capas y una aplicación en Streamlit para consultar el sistema de recomendación.</w:t>
      </w:r>
    </w:p>
    <w:p>
      <w:pPr>
        <w:pStyle w:val="Heading3"/>
        <w:keepNext/>
      </w:pPr>
      <w:r>
        <w:rPr>
          <w:rFonts w:ascii="Times New Roman" w:hAnsi="Times New Roman"/>
          <w:color w:val="000000"/>
          <w:sz w:val="24"/>
        </w:rPr>
        <w:t>3.2.3. Contratos de datos e integración</w:t>
      </w:r>
    </w:p>
    <w:p>
      <w:pPr>
        <w:spacing w:after="120"/>
      </w:pPr>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pPr>
        <w:spacing w:after="120"/>
      </w:pPr>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pPr>
        <w:pStyle w:val="Heading3"/>
        <w:keepNext/>
      </w:pPr>
      <w:r>
        <w:rPr>
          <w:rFonts w:ascii="Times New Roman" w:hAnsi="Times New Roman"/>
          <w:color w:val="000000"/>
          <w:sz w:val="24"/>
        </w:rPr>
        <w:t>3.2.4. Reproducibilidad y escalabilidad</w:t>
      </w:r>
    </w:p>
    <w:p>
      <w:pPr>
        <w:spacing w:after="120"/>
      </w:pPr>
      <w:r>
        <w:t>Los procesos se ejecutan mediante módulos independientes y generan salidas deterministas a partir de datos y parámetros conocidos. Las pruebas automáticas cubren construcción de consultas, protección de credenciales, escritura raw, normalización, calidad, características y evaluación temporal. Las figuras y resúmenes de la memoria se regeneran desde los mismos archivos que consume el modelado.</w:t>
      </w:r>
    </w:p>
    <w:p>
      <w:pPr>
        <w:spacing w:after="120"/>
      </w:pPr>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pPr>
        <w:pStyle w:val="Heading2"/>
      </w:pPr>
      <w:r>
        <w:t>3.3. Planificación y organización del proyecto</w:t>
      </w:r>
    </w:p>
    <w:p>
      <w:pPr>
        <w:spacing w:after="120"/>
      </w:pPr>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pPr>
        <w:spacing w:after="120"/>
      </w:pPr>
      <w:r>
        <w:t>Las fases de trabajo son: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Fase</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Actividades</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Evidencia de salida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Comprensión y alcance</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Necesidad de negocio, usuario, decisión y restricciones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Objetivos, alcance del piloto y criterios de evaluación.</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Adquisición y comprensión de datos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Inventario de fuentes, extracción y análisis de cobertura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Archivos raw, metadatos, inventarios y controles iniciales.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Preparación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Normalización, calidad, integración y características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Tablas interim y processed, catálogo de variables y auditoría.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Modelado y evaluación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Baselines, modelos, validación temporal y prueba reservada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Métricas, predicciones, figuras y decisión técnica.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Sistema de recomendación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Reglas agronómicas, parámetros de parcela y explicación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Prototipo del DSS y salidas diaria y semanal.</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Validación y documentación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Revisión funcional, limitaciones y reproducibilidad</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Pruebas, memoria, manual de ejecución y conclusiones.</w:t>
            </w:r>
          </w:p>
        </w:tc>
      </w:tr>
    </w:tbl>
    <w:p>
      <w:pPr>
        <w:spacing w:after="40"/>
      </w:pPr>
    </w:p>
    <w:p>
      <w:pPr>
        <w:spacing w:after="120"/>
      </w:pPr>
      <w:r>
        <w:t xml:space="preserve">El desarrollo se organiza mediante Git y GitHub para mantener trazabilidad sobre el código, la documentación y las evidencias reproducibles. La rama </w:t>
      </w:r>
      <w:r>
        <w:rPr>
          <w:rFonts w:ascii="Consolas" w:hAnsi="Consolas"/>
          <w:sz w:val="19"/>
        </w:rPr>
        <w:t>main</w:t>
      </w:r>
      <w:r>
        <w:t xml:space="preserve"> representa la versión integrada del proyecto. Cada bloque de trabajo se desarrolla en una rama independiente creada desde </w:t>
      </w:r>
      <w:r>
        <w:rPr>
          <w:rFonts w:ascii="Consolas" w:hAnsi="Consolas"/>
          <w:sz w:val="19"/>
        </w:rPr>
        <w:t>main</w:t>
      </w:r>
      <w:r>
        <w:t xml:space="preserve">, con un nombre que identifica a la persona y la tarea, por ejemplo </w:t>
      </w:r>
      <w:r>
        <w:rPr>
          <w:rFonts w:ascii="Consolas" w:hAnsi="Consolas"/>
          <w:sz w:val="19"/>
        </w:rPr>
        <w:t>adrian/procesamiento-ml</w:t>
      </w:r>
      <w:r>
        <w:t>.</w:t>
      </w:r>
    </w:p>
    <w:p>
      <w:pPr>
        <w:spacing w:after="120"/>
      </w:pPr>
      <w:r>
        <w:t xml:space="preserve">El ciclo habitual comienza actualizando </w:t>
      </w:r>
      <w:r>
        <w:rPr>
          <w:rFonts w:ascii="Consolas" w:hAnsi="Consolas"/>
          <w:sz w:val="19"/>
        </w:rPr>
        <w:t>main</w:t>
      </w:r>
      <w:r>
        <w:t xml:space="preserve"> y creando o recuperando la rama de trabajo. Durante el desarrollo se revisan los archivos modificados, se ejecutan las pruebas asociadas y se crean commits pequeños con mensajes descriptivos. La rama se publica mediante </w:t>
      </w:r>
      <w:r>
        <w:rPr>
          <w:rFonts w:ascii="Consolas" w:hAnsi="Consolas"/>
          <w:sz w:val="19"/>
        </w:rPr>
        <w:t>push</w:t>
      </w:r>
      <w:r>
        <w:t xml:space="preserve"> y se abre una pull request hacia </w:t>
      </w:r>
      <w:r>
        <w:rPr>
          <w:rFonts w:ascii="Consolas" w:hAnsi="Consolas"/>
          <w:sz w:val="19"/>
        </w:rPr>
        <w:t>main</w:t>
      </w:r>
      <w:r>
        <w:t xml:space="preserve">. Esta solicitud permite revisar el código, las cifras y la documentación antes de la fusión. Después del merge, el resto del equipo actualiza su copia local de </w:t>
      </w:r>
      <w:r>
        <w:rPr>
          <w:rFonts w:ascii="Consolas" w:hAnsi="Consolas"/>
          <w:sz w:val="19"/>
        </w:rPr>
        <w:t>main</w:t>
      </w:r>
      <w:r>
        <w:t xml:space="preserve"> antes de comenzar una nueva tarea.</w:t>
      </w:r>
    </w:p>
    <w:p>
      <w:pPr>
        <w:spacing w:before="80" w:after="140"/>
        <w:ind w:left="360" w:right="216"/>
        <w:jc w:val="left"/>
        <w:shd w:fill="F2F2F2"/>
      </w:pPr>
      <w:r>
        <w:rPr>
          <w:rFonts w:ascii="Consolas" w:hAnsi="Consolas"/>
          <w:sz w:val="17"/>
        </w:rPr>
        <w:t>main actualizada</w:t>
        <w:br/>
      </w:r>
      <w:r>
        <w:rPr>
          <w:rFonts w:ascii="Consolas" w:hAnsi="Consolas"/>
          <w:sz w:val="17"/>
        </w:rPr>
        <w:t xml:space="preserve">    -&gt; rama persona/tarea</w:t>
        <w:br/>
      </w:r>
      <w:r>
        <w:rPr>
          <w:rFonts w:ascii="Consolas" w:hAnsi="Consolas"/>
          <w:sz w:val="17"/>
        </w:rPr>
        <w:t xml:space="preserve">    -&gt; cambios y pruebas locales</w:t>
        <w:br/>
      </w:r>
      <w:r>
        <w:rPr>
          <w:rFonts w:ascii="Consolas" w:hAnsi="Consolas"/>
          <w:sz w:val="17"/>
        </w:rPr>
        <w:t xml:space="preserve">    -&gt; commit</w:t>
        <w:br/>
      </w:r>
      <w:r>
        <w:rPr>
          <w:rFonts w:ascii="Consolas" w:hAnsi="Consolas"/>
          <w:sz w:val="17"/>
        </w:rPr>
        <w:t xml:space="preserve">    -&gt; push a GitHub</w:t>
        <w:br/>
      </w:r>
      <w:r>
        <w:rPr>
          <w:rFonts w:ascii="Consolas" w:hAnsi="Consolas"/>
          <w:sz w:val="17"/>
        </w:rPr>
        <w:t xml:space="preserve">    -&gt; pull request y revisión</w:t>
        <w:br/>
      </w:r>
      <w:r>
        <w:rPr>
          <w:rFonts w:ascii="Consolas" w:hAnsi="Consolas"/>
          <w:sz w:val="17"/>
        </w:rPr>
        <w:t xml:space="preserve">    -&gt; merge en main</w:t>
      </w:r>
    </w:p>
    <w:p>
      <w:pPr>
        <w:spacing w:after="120"/>
      </w:pPr>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pPr>
        <w:spacing w:after="120"/>
      </w:pPr>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pPr>
        <w:spacing w:after="120"/>
      </w:pPr>
      <w:r>
        <w:t xml:space="preserve">Las credenciales se almacenan únicamente en </w:t>
      </w:r>
      <w:r>
        <w:rPr>
          <w:rFonts w:ascii="Consolas" w:hAnsi="Consolas"/>
          <w:sz w:val="19"/>
        </w:rPr>
        <w:t>.env</w:t>
      </w:r>
      <w:r>
        <w:t xml:space="preserve">, excluido de Git. Los datos raw, las tablas completas generadas y los modelos serializados también quedan fuera del control de versiones. Se versionan el código, los esquemas, las muestras ligeras, las métricas, las figuras y los datos públicos que el equipo haya aprobado expresamente. Las instrucciones operativas completas se mantienen en </w:t>
      </w:r>
      <w:r>
        <w:rPr>
          <w:rFonts w:ascii="Consolas" w:hAnsi="Consolas"/>
          <w:sz w:val="19"/>
        </w:rPr>
        <w:t>CONTRIBUTING.md</w:t>
      </w:r>
      <w:r>
        <w:t xml:space="preserve"> y </w:t>
      </w:r>
      <w:r>
        <w:rPr>
          <w:rFonts w:ascii="Consolas" w:hAnsi="Consolas"/>
          <w:sz w:val="19"/>
        </w:rPr>
        <w:t>ORGANIZACION_Y_VERSIONADO.md</w:t>
      </w:r>
      <w:r>
        <w:t>.</w:t>
      </w:r>
    </w:p>
    <w:p>
      <w:pPr>
        <w:pStyle w:val="Heading1"/>
      </w:pPr>
      <w:r>
        <w:t>4. Procesamiento de datos y Machine Learning</w:t>
      </w:r>
    </w:p>
    <w:p>
      <w:pPr>
        <w:pStyle w:val="Heading2"/>
      </w:pPr>
      <w:r>
        <w:t>4.1. Extracción, transformación y almacenamiento de datos</w:t>
      </w:r>
    </w:p>
    <w:p>
      <w:pPr>
        <w:spacing w:after="120"/>
      </w:pPr>
      <w:r>
        <w:t>El sistema de apoyo a la decisión necesita combinar observaciones agroclimáticas históricas con predicciones meteorológicas.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pPr>
        <w:spacing w:after="120"/>
      </w:pPr>
      <w:r>
        <w:t xml:space="preserve">El piloto utiliza como referencia el pimiento al aire libre en Almería. Se ha extraído un ciclo completo del 1 de mayo al 30 de septiembre de 2025 para la estación SiAR </w:t>
      </w:r>
      <w:r>
        <w:rPr>
          <w:rFonts w:ascii="Consolas" w:hAnsi="Consolas"/>
          <w:sz w:val="19"/>
        </w:rPr>
        <w:t>AL01</w:t>
      </w:r>
      <w:r>
        <w:t xml:space="preserve"> La Mojonera, junto con las necesidades hídricas del pimiento en esa misma estación y periodo. Las predicciones se obtienen para el municipio AEMET </w:t>
      </w:r>
      <w:r>
        <w:rPr>
          <w:rFonts w:ascii="Consolas" w:hAnsi="Consolas"/>
          <w:sz w:val="19"/>
        </w:rPr>
        <w:t>04013</w:t>
      </w:r>
      <w:r>
        <w:t xml:space="preserve"> Almería. Esta configuración es un caso de validación y no una restricción fija del producto. El diseño conserva identificadores de fuente, estación, municipio, cultivo y tiempo para que la selección del usuario determine qué datos se consultan en cada ejecución.</w:t>
      </w:r>
    </w:p>
    <w:p>
      <w:pPr>
        <w:keepNext w:val="0"/>
        <w:jc w:val="center"/>
      </w:pPr>
      <w:r>
        <w:drawing>
          <wp:inline xmlns:wp="http://schemas.openxmlformats.org/drawingml/2006/wordprocessingDrawing" xmlns:a="http://schemas.openxmlformats.org/drawingml/2006/main" xmlns:pic="http://schemas.openxmlformats.org/drawingml/2006/picture">
            <wp:extent cx="5577840" cy="3236939"/>
            <wp:docPr id="22" name="Picture 22"/>
            <wp:cNvGraphicFramePr>
              <a:graphicFrameLocks noChangeAspect="1"/>
            </wp:cNvGraphicFramePr>
            <a:graphic>
              <a:graphicData uri="http://schemas.openxmlformats.org/drawingml/2006/picture">
                <pic:pic>
                  <pic:nvPicPr>
                    <pic:cNvPr id="0" name="image.png"/>
                    <pic:cNvPicPr/>
                  </pic:nvPicPr>
                  <pic:blipFill>
                    <a:blip ns1:embed="rId14"/>
                    <a:stretch>
                      <a:fillRect/>
                    </a:stretch>
                  </pic:blipFill>
                  <pic:spPr>
                    <a:xfrm>
                      <a:off x="0" y="0"/>
                      <a:ext cx="5577840" cy="3236939"/>
                    </a:xfrm>
                    <a:prstGeom prst="rect"/>
                  </pic:spPr>
                </pic:pic>
              </a:graphicData>
            </a:graphic>
          </wp:inline>
        </w:drawing>
      </w:r>
    </w:p>
    <w:p>
      <w:pPr>
        <w:spacing w:after="120"/>
      </w:pPr>
      <w:r>
        <w:rPr>
          <w:i/>
        </w:rPr>
        <w:t>Figura 4.1. ETL parametrizable desde la selección del usuario hasta la tabla analítica del piloto. Los gráficos inferiores utilizan datos reales de la extracción del 24 de septiembre de 2026.</w:t>
      </w:r>
    </w:p>
    <w:p>
      <w:pPr>
        <w:pStyle w:val="Heading3"/>
        <w:keepNext/>
      </w:pPr>
      <w:r>
        <w:rPr>
          <w:rFonts w:ascii="Times New Roman" w:hAnsi="Times New Roman"/>
          <w:color w:val="000000"/>
          <w:sz w:val="24"/>
        </w:rPr>
        <w:t>4.1.1. Fuentes utilizadas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Organismo y producto</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Acceso oficial</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Datos utilizados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Función en el DSS</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Ministerio de Agricultura, Pesca y Alimentación, SiAR</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 xml:space="preserve">Web API SiAR v1, </w:t>
            </w:r>
            <w:r>
              <w:rPr>
                <w:rFonts w:ascii="Times New Roman" w:hAnsi="Times New Roman"/>
                <w:color w:val="000000"/>
                <w:sz w:val="16"/>
              </w:rPr>
              <w:t>https://servicio.mapa.gob.es/siarapi/API/V1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Observaciones por estación, ET0, precipitación efectiva y catálogos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Histórico agroclimático y trazabilidad espacial.</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Ministerio de Agricultura, Pesca y Alimentación, SiAR</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Web de cálculo de necesidades hídricas, </w:t>
            </w:r>
            <w:r>
              <w:rPr>
                <w:rFonts w:ascii="Times New Roman" w:hAnsi="Times New Roman"/>
                <w:color w:val="000000"/>
                <w:sz w:val="16"/>
              </w:rPr>
              <w:t>https://servicio.mapa.gob.es/siarweb/necesidadesHidricas/calculo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Kc, ET0, ETc, Pe y necesidad neta por cultivo, estación y periodo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Referencia agronómica y variable objetivo del piloto.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Agencia Estatal de Meteorología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 xml:space="preserve">AEMET OpenData, </w:t>
            </w:r>
            <w:r>
              <w:rPr>
                <w:rFonts w:ascii="Times New Roman" w:hAnsi="Times New Roman"/>
                <w:color w:val="000000"/>
                <w:sz w:val="16"/>
              </w:rPr>
              <w:t>https://opendata.aemet.es/opendata/api</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Predicción municipal diaria y horaria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Anticipación meteorológica para recomendaciones futuras.</w:t>
            </w:r>
          </w:p>
        </w:tc>
      </w:tr>
    </w:tbl>
    <w:p>
      <w:pPr>
        <w:spacing w:after="40"/>
      </w:pPr>
    </w:p>
    <w:p>
      <w:pPr>
        <w:spacing w:after="120"/>
      </w:pPr>
      <w:r>
        <w:t>Las respuestas de la Web API SiAR y AEMET se conservan con su fecha de ingestión, parámetros y archivo de procedencia. El CSV agronómico se acompaña de un fichero de metadatos que identifica organismo, URL, estación, comarca, cultivo, periodo y fecha de descarga.</w:t>
      </w:r>
    </w:p>
    <w:p>
      <w:pPr>
        <w:pStyle w:val="Heading4"/>
        <w:keepNext/>
      </w:pPr>
      <w:r>
        <w:rPr>
          <w:rFonts w:ascii="Times New Roman" w:hAnsi="Times New Roman"/>
          <w:color w:val="000000"/>
          <w:sz w:val="24"/>
        </w:rPr>
        <w:t>SiAR</w:t>
      </w:r>
    </w:p>
    <w:p>
      <w:pPr>
        <w:spacing w:after="120"/>
      </w:pPr>
      <w:r>
        <w:t>La API del Sistema de Información Agroclimática para el Regadío constituye la fuente histórica principal. Se han incorporado:</w:t>
      </w:r>
    </w:p>
    <w:p>
      <w:pPr>
        <w:spacing w:after="60"/>
        <w:ind w:left="360" w:hanging="259"/>
      </w:pPr>
      <w:r>
        <w:t>• catálogo de estaciones y sus coordenadas, altitud y vigencia;</w:t>
      </w:r>
    </w:p>
    <w:p>
      <w:pPr>
        <w:spacing w:after="60"/>
        <w:ind w:left="360" w:hanging="259"/>
      </w:pPr>
      <w:r>
        <w:t>• catálogo de códigos de validación;</w:t>
      </w:r>
    </w:p>
    <w:p>
      <w:pPr>
        <w:spacing w:after="60"/>
        <w:ind w:left="360" w:hanging="259"/>
      </w:pPr>
      <w:r>
        <w:t>• datos diarios por estación;</w:t>
      </w:r>
    </w:p>
    <w:p>
      <w:pPr>
        <w:spacing w:after="60"/>
        <w:ind w:left="360" w:hanging="259"/>
      </w:pPr>
      <w:r>
        <w:t>• temperatura, humedad, viento, radiación y precipitación;</w:t>
      </w:r>
    </w:p>
    <w:p>
      <w:pPr>
        <w:spacing w:after="60"/>
        <w:ind w:left="360" w:hanging="259"/>
      </w:pPr>
      <w:r>
        <w:t>• evapotranspiración de referencia Penman-Monteith (</w:t>
      </w:r>
      <w:r>
        <w:rPr>
          <w:rFonts w:ascii="Consolas" w:hAnsi="Consolas"/>
          <w:sz w:val="19"/>
        </w:rPr>
        <w:t>EtPMon</w:t>
      </w:r>
      <w:r>
        <w:t>);</w:t>
      </w:r>
    </w:p>
    <w:p>
      <w:pPr>
        <w:spacing w:after="60"/>
        <w:ind w:left="360" w:hanging="259"/>
      </w:pPr>
      <w:r>
        <w:t>• precipitación efectiva calculada (</w:t>
      </w:r>
      <w:r>
        <w:rPr>
          <w:rFonts w:ascii="Consolas" w:hAnsi="Consolas"/>
          <w:sz w:val="19"/>
        </w:rPr>
        <w:t>PePMon</w:t>
      </w:r>
      <w:r>
        <w:t>).</w:t>
      </w:r>
    </w:p>
    <w:p>
      <w:pPr>
        <w:spacing w:after="120"/>
      </w:pPr>
      <w:r>
        <w:t xml:space="preserve">La consulta diaria se realiza con </w:t>
      </w:r>
      <w:r>
        <w:rPr>
          <w:rFonts w:ascii="Consolas" w:hAnsi="Consolas"/>
          <w:sz w:val="19"/>
        </w:rPr>
        <w:t>DatosCalculados=true</w:t>
      </w:r>
      <w:r>
        <w:t xml:space="preserve"> para obtener ET0 y precipitación efectiva junto con las variables meteorológicas observadas. Estos datos representan el entorno de la estación y no una medición directa de la parcela concreta.</w:t>
      </w:r>
    </w:p>
    <w:p>
      <w:pPr>
        <w:pStyle w:val="Heading4"/>
        <w:keepNext/>
      </w:pPr>
      <w:r>
        <w:rPr>
          <w:rFonts w:ascii="Times New Roman" w:hAnsi="Times New Roman"/>
          <w:color w:val="000000"/>
          <w:sz w:val="24"/>
        </w:rPr>
        <w:t>AEMET OpenData</w:t>
      </w:r>
    </w:p>
    <w:p>
      <w:pPr>
        <w:spacing w:after="120"/>
      </w:pPr>
      <w:r>
        <w:t>AEMET se utiliza como fuente predictiva. Se han incorporado:</w:t>
      </w:r>
    </w:p>
    <w:p>
      <w:pPr>
        <w:spacing w:after="60"/>
        <w:ind w:left="360" w:hanging="259"/>
      </w:pPr>
      <w:r>
        <w:t>• catálogo nacional de municipios;</w:t>
      </w:r>
    </w:p>
    <w:p>
      <w:pPr>
        <w:spacing w:after="60"/>
        <w:ind w:left="360" w:hanging="259"/>
      </w:pPr>
      <w:r>
        <w:t>• inventario de estaciones climatológicas;</w:t>
      </w:r>
    </w:p>
    <w:p>
      <w:pPr>
        <w:spacing w:after="60"/>
        <w:ind w:left="360" w:hanging="259"/>
      </w:pPr>
      <w:r>
        <w:t>• predicción municipal diaria para siete días;</w:t>
      </w:r>
    </w:p>
    <w:p>
      <w:pPr>
        <w:spacing w:after="60"/>
        <w:ind w:left="360" w:hanging="259"/>
      </w:pPr>
      <w:r>
        <w:t>• predicción municipal horaria para aproximadamente 48 horas;</w:t>
      </w:r>
    </w:p>
    <w:p>
      <w:pPr>
        <w:spacing w:after="60"/>
        <w:ind w:left="360" w:hanging="259"/>
      </w:pPr>
      <w:r>
        <w:t>• fecha de elaboración, fecha válida y horizonte de cada predicción;</w:t>
      </w:r>
    </w:p>
    <w:p>
      <w:pPr>
        <w:spacing w:after="60"/>
        <w:ind w:left="360" w:hanging="259"/>
      </w:pPr>
      <w:r>
        <w:t>• temperatura, humedad, precipitación, probabilidad de precipitación, viento, rachas y estado del cielo.</w:t>
      </w:r>
    </w:p>
    <w:p>
      <w:pPr>
        <w:spacing w:after="120"/>
      </w:pPr>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pPr>
        <w:pStyle w:val="Heading4"/>
        <w:keepNext/>
      </w:pPr>
      <w:r>
        <w:rPr>
          <w:rFonts w:ascii="Times New Roman" w:hAnsi="Times New Roman"/>
          <w:color w:val="000000"/>
          <w:sz w:val="24"/>
        </w:rPr>
        <w:t>Necesidades hídricas de SiAR</w:t>
      </w:r>
    </w:p>
    <w:p>
      <w:pPr>
        <w:spacing w:after="120"/>
      </w:pPr>
      <w:r>
        <w:t xml:space="preserve">La web de SiAR permite descargar CSV con </w:t>
      </w:r>
      <w:r>
        <w:rPr>
          <w:rFonts w:ascii="Consolas" w:hAnsi="Consolas"/>
          <w:sz w:val="19"/>
        </w:rPr>
        <w:t>Kc</w:t>
      </w:r>
      <w:r>
        <w:t xml:space="preserve">, ET0, ETc, precipitación efectiva y necesidad neta por cultivo y zona. Este producto no dispone de un endpoint público estable en la API documentada. Se ha incorporado el ciclo del pimiento para </w:t>
      </w:r>
      <w:r>
        <w:rPr>
          <w:rFonts w:ascii="Consolas" w:hAnsi="Consolas"/>
          <w:sz w:val="19"/>
        </w:rPr>
        <w:t>AL01</w:t>
      </w:r>
      <w:r>
        <w:t>,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pPr>
        <w:pStyle w:val="Heading3"/>
        <w:keepNext/>
      </w:pPr>
      <w:r>
        <w:rPr>
          <w:rFonts w:ascii="Times New Roman" w:hAnsi="Times New Roman"/>
          <w:color w:val="000000"/>
          <w:sz w:val="24"/>
        </w:rPr>
        <w:t>4.1.2. Configuración dinámica y alcance del piloto</w:t>
      </w:r>
    </w:p>
    <w:p>
      <w:pPr>
        <w:spacing w:after="120"/>
      </w:pPr>
      <w:r>
        <w:t>El flujo se ha planteado como una ETL parametrizable. En el producto final, el usuario seleccionará la ubicación de la explotación, el cultivo, el periodo y el horizonte de recomendación. Estos valores determinan las consultas y tablas que se generan: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Selección</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Parámetros derivados</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Datos que cambian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Ubicación</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estación SiAR y municipio 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Observaciones agroclimáticas y predicciones locales.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Cultivo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comarca, calendario y curva Kc</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ETc y necesidad hídrica de referencia.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Periodo</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fecha inicial y final</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Volumen y campaña histórica descargada.</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Horizonte</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diario o detalle horario</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Producto AEMET y granularidad de la recomendación.</w:t>
            </w:r>
          </w:p>
        </w:tc>
      </w:tr>
    </w:tbl>
    <w:p>
      <w:pPr>
        <w:spacing w:after="40"/>
      </w:pPr>
    </w:p>
    <w:p>
      <w:pPr>
        <w:spacing w:after="120"/>
      </w:pPr>
      <w:r>
        <w:t xml:space="preserve">La extracción Python ya admite estación, municipio y fechas mediante parámetros de línea de comandos. La transformación identifica el cultivo, la estación y el periodo a partir del CSV agronómico y sus metadatos. En la configuración actual se fijan </w:t>
      </w:r>
      <w:r>
        <w:rPr>
          <w:rFonts w:ascii="Consolas" w:hAnsi="Consolas"/>
          <w:sz w:val="19"/>
        </w:rPr>
        <w:t>Pimiento</w:t>
      </w:r>
      <w:r>
        <w:t xml:space="preserve">, </w:t>
      </w:r>
      <w:r>
        <w:rPr>
          <w:rFonts w:ascii="Consolas" w:hAnsi="Consolas"/>
          <w:sz w:val="19"/>
        </w:rPr>
        <w:t>Almería</w:t>
      </w:r>
      <w:r>
        <w:t xml:space="preserve">, </w:t>
      </w:r>
      <w:r>
        <w:rPr>
          <w:rFonts w:ascii="Consolas" w:hAnsi="Consolas"/>
          <w:sz w:val="19"/>
        </w:rPr>
        <w:t>AL01</w:t>
      </w:r>
      <w:r>
        <w:t xml:space="preserve">, </w:t>
      </w:r>
      <w:r>
        <w:rPr>
          <w:rFonts w:ascii="Consolas" w:hAnsi="Consolas"/>
          <w:sz w:val="19"/>
        </w:rPr>
        <w:t>04013</w:t>
      </w:r>
      <w:r>
        <w:t xml:space="preserve">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pPr>
        <w:spacing w:after="120"/>
      </w:pPr>
      <w:r>
        <w:t>El flujo lógico es:</w:t>
      </w:r>
    </w:p>
    <w:p>
      <w:pPr>
        <w:spacing w:before="80" w:after="140"/>
        <w:ind w:left="360" w:right="216"/>
        <w:jc w:val="left"/>
        <w:shd w:fill="F2F2F2"/>
      </w:pPr>
      <w:r>
        <w:rPr>
          <w:rFonts w:ascii="Consolas" w:hAnsi="Consolas"/>
          <w:sz w:val="17"/>
        </w:rPr>
        <w:t>selección del usuario</w:t>
        <w:br/>
      </w:r>
      <w:r>
        <w:rPr>
          <w:rFonts w:ascii="Consolas" w:hAnsi="Consolas"/>
          <w:sz w:val="17"/>
        </w:rPr>
        <w:t xml:space="preserve">    -&gt; cultivo, ubicación, estación, municipio y fechas</w:t>
        <w:br/>
      </w:r>
      <w:r>
        <w:rPr>
          <w:rFonts w:ascii="Consolas" w:hAnsi="Consolas"/>
          <w:sz w:val="17"/>
        </w:rPr>
        <w:t xml:space="preserve">    -&gt; extracción de las fuentes correspondientes</w:t>
        <w:br/>
      </w:r>
      <w:r>
        <w:rPr>
          <w:rFonts w:ascii="Consolas" w:hAnsi="Consolas"/>
          <w:sz w:val="17"/>
        </w:rPr>
        <w:t xml:space="preserve">    -&gt; normalización y controles de calidad</w:t>
        <w:br/>
      </w:r>
      <w:r>
        <w:rPr>
          <w:rFonts w:ascii="Consolas" w:hAnsi="Consolas"/>
          <w:sz w:val="17"/>
        </w:rPr>
        <w:t xml:space="preserve">    -&gt; tabla analítica</w:t>
        <w:br/>
      </w:r>
      <w:r>
        <w:rPr>
          <w:rFonts w:ascii="Consolas" w:hAnsi="Consolas"/>
          <w:sz w:val="17"/>
        </w:rPr>
        <w:t xml:space="preserve">    -&gt; predicción y recomendación</w:t>
      </w:r>
    </w:p>
    <w:p>
      <w:pPr>
        <w:pStyle w:val="Heading3"/>
        <w:keepNext/>
      </w:pPr>
      <w:r>
        <w:rPr>
          <w:rFonts w:ascii="Times New Roman" w:hAnsi="Times New Roman"/>
          <w:color w:val="000000"/>
          <w:sz w:val="24"/>
        </w:rPr>
        <w:t>4.1.3. Extracción</w:t>
      </w:r>
    </w:p>
    <w:p>
      <w:pPr>
        <w:spacing w:after="120"/>
      </w:pPr>
      <w:r>
        <w:t>La extracción se implementa en Python mediante clientes independientes para SiAR y AEMET. Las credenciales se leen desde variables de entorno y nunca se escriben en los datos, los mensajes de error o el repositorio.</w:t>
      </w:r>
    </w:p>
    <w:p>
      <w:pPr>
        <w:spacing w:after="120"/>
      </w:pPr>
      <w:r>
        <w:t>Cada archivo extraído contiene un sobre de trazabilidad con:</w:t>
      </w:r>
    </w:p>
    <w:p>
      <w:pPr>
        <w:spacing w:after="60"/>
        <w:ind w:left="360" w:hanging="259"/>
      </w:pPr>
      <w:r>
        <w:t>• versión del esquema;</w:t>
      </w:r>
    </w:p>
    <w:p>
      <w:pPr>
        <w:spacing w:after="60"/>
        <w:ind w:left="360" w:hanging="259"/>
      </w:pPr>
      <w:r>
        <w:t>• fuente y conjunto de datos;</w:t>
      </w:r>
    </w:p>
    <w:p>
      <w:pPr>
        <w:spacing w:after="60"/>
        <w:ind w:left="360" w:hanging="259"/>
      </w:pPr>
      <w:r>
        <w:t>• fecha y hora de ingestión;</w:t>
      </w:r>
    </w:p>
    <w:p>
      <w:pPr>
        <w:spacing w:after="60"/>
        <w:ind w:left="360" w:hanging="259"/>
      </w:pPr>
      <w:r>
        <w:t>• parámetros de consulta sin credenciales;</w:t>
      </w:r>
    </w:p>
    <w:p>
      <w:pPr>
        <w:spacing w:after="60"/>
        <w:ind w:left="360" w:hanging="259"/>
      </w:pPr>
      <w:r>
        <w:t>• número de registros;</w:t>
      </w:r>
    </w:p>
    <w:p>
      <w:pPr>
        <w:spacing w:after="60"/>
        <w:ind w:left="360" w:hanging="259"/>
      </w:pPr>
      <w:r>
        <w:t>• respuesta de datos recibida.</w:t>
      </w:r>
    </w:p>
    <w:p>
      <w:pPr>
        <w:spacing w:after="120"/>
      </w:pPr>
      <w:r>
        <w:t>La escritura es atómica: primero se genera un archivo temporal y solo se sustituye el destino cuando el JSON está completo. Esto evita archivos parcialmente escritos si se interrumpe el proceso.</w:t>
      </w:r>
    </w:p>
    <w:p>
      <w:pPr>
        <w:spacing w:after="120"/>
      </w:pPr>
      <w:r>
        <w:t>La primera ejecución produjo: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b/>
                <w:color w:val="FFFFFF"/>
                <w:sz w:val="16"/>
              </w:rPr>
              <w:t>Fuente</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Conjunto</w:t>
            </w:r>
          </w:p>
        </w:tc>
        <w:tc>
          <w:tcPr>
            <w:tcW w:type="dxa" w:w="3009"/>
            <w:vAlign w:val="center"/>
            <w:tcMar>
              <w:top w:w="90" w:type="dxa"/>
              <w:start w:w="100" w:type="dxa"/>
              <w:bottom w:w="90" w:type="dxa"/>
              <w:end w:w="100" w:type="dxa"/>
            </w:tcMar>
            <w:shd w:fill="1F4E78"/>
          </w:tcPr>
          <w:p>
            <w:pPr>
              <w:jc w:val="center"/>
            </w:pPr>
            <w:r>
              <w:rPr>
                <w:rFonts w:ascii="Times New Roman" w:hAnsi="Times New Roman"/>
                <w:b/>
                <w:color w:val="FFFFFF"/>
                <w:sz w:val="16"/>
              </w:rPr>
              <w:t>Registros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Estaciones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635</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Códigos de validación</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53</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SiAR</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 xml:space="preserve">Histórico diario de </w:t>
            </w:r>
            <w:r>
              <w:rPr>
                <w:rFonts w:ascii="Times New Roman" w:hAnsi="Times New Roman"/>
                <w:color w:val="000000"/>
                <w:sz w:val="16"/>
              </w:rPr>
              <w:t>AL01</w:t>
            </w:r>
            <w:r>
              <w:rPr>
                <w:rFonts w:ascii="Times New Roman" w:hAnsi="Times New Roman"/>
                <w:color w:val="000000"/>
                <w:sz w:val="16"/>
              </w:rPr>
              <w:t>, ciclo 2025</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150</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SiAR web</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 xml:space="preserve">Necesidades hídricas de pimiento en </w:t>
            </w:r>
            <w:r>
              <w:rPr>
                <w:rFonts w:ascii="Times New Roman" w:hAnsi="Times New Roman"/>
                <w:color w:val="000000"/>
                <w:sz w:val="16"/>
              </w:rPr>
              <w:t>AL01</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Municipios</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8.122</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Estaciones</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926</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Predicción diaria</w:t>
            </w:r>
          </w:p>
        </w:tc>
        <w:tc>
          <w:tcPr>
            <w:tcW w:type="dxa" w:w="3009"/>
            <w:vAlign w:val="center"/>
            <w:tcMar>
              <w:top w:w="90" w:type="dxa"/>
              <w:start w:w="100" w:type="dxa"/>
              <w:bottom w:w="90" w:type="dxa"/>
              <w:end w:w="100" w:type="dxa"/>
            </w:tcMar>
          </w:tcPr>
          <w:p>
            <w:pPr>
              <w:jc w:val="center"/>
            </w:pPr>
            <w:r>
              <w:rPr>
                <w:rFonts w:ascii="Times New Roman" w:hAnsi="Times New Roman"/>
                <w:color w:val="000000"/>
                <w:sz w:val="16"/>
              </w:rPr>
              <w:t>7 días</w:t>
            </w:r>
          </w:p>
        </w:tc>
      </w:tr>
      <w:tr>
        <w:trPr>
          <w:cantSplit/>
        </w:trPr>
        <w:tc>
          <w:tcPr>
            <w:tcW w:type="dxa" w:w="3009"/>
            <w:vAlign w:val="center"/>
            <w:tcMar>
              <w:top w:w="90" w:type="dxa"/>
              <w:start w:w="100" w:type="dxa"/>
              <w:bottom w:w="90" w:type="dxa"/>
              <w:end w:w="100" w:type="dxa"/>
            </w:tcMar>
            <w:shd w:fill="EAF2F8"/>
          </w:tcPr>
          <w:p>
            <w:pPr>
              <w:jc w:val="left"/>
            </w:pPr>
            <w:r>
              <w:rPr>
                <w:rFonts w:ascii="Times New Roman" w:hAnsi="Times New Roman"/>
                <w:color w:val="000000"/>
                <w:sz w:val="16"/>
              </w:rPr>
              <w:t>AEMET</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Predicción horaria</w:t>
            </w:r>
          </w:p>
        </w:tc>
        <w:tc>
          <w:tcPr>
            <w:tcW w:type="dxa" w:w="3009"/>
            <w:vAlign w:val="center"/>
            <w:tcMar>
              <w:top w:w="90" w:type="dxa"/>
              <w:start w:w="100" w:type="dxa"/>
              <w:bottom w:w="90" w:type="dxa"/>
              <w:end w:w="100" w:type="dxa"/>
            </w:tcMar>
            <w:shd w:fill="EAF2F8"/>
          </w:tcPr>
          <w:p>
            <w:pPr>
              <w:jc w:val="center"/>
            </w:pPr>
            <w:r>
              <w:rPr>
                <w:rFonts w:ascii="Times New Roman" w:hAnsi="Times New Roman"/>
                <w:color w:val="000000"/>
                <w:sz w:val="16"/>
              </w:rPr>
              <w:t>48 horas</w:t>
            </w:r>
          </w:p>
        </w:tc>
      </w:tr>
    </w:tbl>
    <w:p>
      <w:pPr>
        <w:spacing w:after="40"/>
      </w:pPr>
    </w:p>
    <w:p>
      <w:pPr>
        <w:spacing w:after="120"/>
      </w:pPr>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pPr>
        <w:pStyle w:val="Heading3"/>
        <w:keepNext/>
      </w:pPr>
      <w:r>
        <w:rPr>
          <w:rFonts w:ascii="Times New Roman" w:hAnsi="Times New Roman"/>
          <w:color w:val="000000"/>
          <w:sz w:val="24"/>
        </w:rPr>
        <w:t>4.1.4. Capa raw</w:t>
      </w:r>
    </w:p>
    <w:p>
      <w:pPr>
        <w:spacing w:after="120"/>
      </w:pPr>
      <w:r>
        <w:t xml:space="preserve">La capa </w:t>
      </w:r>
      <w:r>
        <w:rPr>
          <w:rFonts w:ascii="Consolas" w:hAnsi="Consolas"/>
          <w:sz w:val="19"/>
        </w:rPr>
        <w:t>data/raw</w:t>
      </w:r>
      <w:r>
        <w:t xml:space="preserve"> conserva los JSON sin modificar su estructura interna:</w:t>
      </w:r>
    </w:p>
    <w:p>
      <w:pPr>
        <w:spacing w:before="80" w:after="140"/>
        <w:ind w:left="360" w:right="216"/>
        <w:jc w:val="left"/>
        <w:shd w:fill="F2F2F2"/>
      </w:pPr>
      <w:r>
        <w:rPr>
          <w:rFonts w:ascii="Consolas" w:hAnsi="Consolas"/>
          <w:sz w:val="17"/>
        </w:rPr>
        <w:t>data/raw/</w:t>
        <w:br/>
      </w:r>
      <w:r>
        <w:rPr>
          <w:rFonts w:ascii="Consolas" w:hAnsi="Consolas"/>
          <w:sz w:val="17"/>
        </w:rPr>
        <w:t>├── siar/</w:t>
        <w:br/>
      </w:r>
      <w:r>
        <w:rPr>
          <w:rFonts w:ascii="Consolas" w:hAnsi="Consolas"/>
          <w:sz w:val="17"/>
        </w:rPr>
        <w:t>│   ├── catalogs/date=AAAA-MM-DD/</w:t>
        <w:br/>
      </w:r>
      <w:r>
        <w:rPr>
          <w:rFonts w:ascii="Consolas" w:hAnsi="Consolas"/>
          <w:sz w:val="17"/>
        </w:rPr>
        <w:t>│   └── weather/daily/station=AL01/year=AAAA/month=MM/</w:t>
        <w:br/>
      </w:r>
      <w:r>
        <w:rPr>
          <w:rFonts w:ascii="Consolas" w:hAnsi="Consolas"/>
          <w:sz w:val="17"/>
        </w:rPr>
        <w:t>└── aemet/</w:t>
        <w:br/>
      </w:r>
      <w:r>
        <w:rPr>
          <w:rFonts w:ascii="Consolas" w:hAnsi="Consolas"/>
          <w:sz w:val="17"/>
        </w:rPr>
        <w:t xml:space="preserve">    ├── catalogs/date=AAAA-MM-DD/</w:t>
        <w:br/>
      </w:r>
      <w:r>
        <w:rPr>
          <w:rFonts w:ascii="Consolas" w:hAnsi="Consolas"/>
          <w:sz w:val="17"/>
        </w:rPr>
        <w:t xml:space="preserve">    └── forecast/</w:t>
        <w:br/>
      </w:r>
      <w:r>
        <w:rPr>
          <w:rFonts w:ascii="Consolas" w:hAnsi="Consolas"/>
          <w:sz w:val="17"/>
        </w:rPr>
        <w:t xml:space="preserve">        ├── daily/municipality=04013/ingestion_date=AAAA-MM-DD/</w:t>
        <w:br/>
      </w:r>
      <w:r>
        <w:rPr>
          <w:rFonts w:ascii="Consolas" w:hAnsi="Consolas"/>
          <w:sz w:val="17"/>
        </w:rPr>
        <w:t xml:space="preserve">        └── hourly/municipality=04013/ingestion_date=AAAA-MM-DD/</w:t>
        <w:br/>
      </w:r>
      <w:r>
        <w:rPr>
          <w:rFonts w:ascii="Consolas" w:hAnsi="Consolas"/>
          <w:sz w:val="17"/>
        </w:rPr>
        <w:t>data/external/</w:t>
        <w:br/>
      </w:r>
      <w:r>
        <w:rPr>
          <w:rFonts w:ascii="Consolas" w:hAnsi="Consolas"/>
          <w:sz w:val="17"/>
        </w:rPr>
        <w:t>└── siar_necesidades_pimiento_AL01_2025.csv</w:t>
      </w:r>
    </w:p>
    <w:p>
      <w:pPr>
        <w:spacing w:after="120"/>
      </w:pPr>
      <w:r>
        <w:t>La partición por fuente, producto, estación o municipio y fecha permite realizar cargas incrementales sin sobrescribir ejecuciones anteriores. Los archivos raw no se almacenan en Git debido a su volumen. El repositorio conserva el código, las pruebas, los esquemas y la documentación necesarios para reproducirlos.</w:t>
      </w:r>
    </w:p>
    <w:p>
      <w:pPr>
        <w:pStyle w:val="Heading3"/>
        <w:keepNext/>
      </w:pPr>
      <w:r>
        <w:rPr>
          <w:rFonts w:ascii="Times New Roman" w:hAnsi="Times New Roman"/>
          <w:color w:val="000000"/>
          <w:sz w:val="24"/>
        </w:rPr>
        <w:t>4.1.5. Transformación y normalización</w:t>
      </w:r>
    </w:p>
    <w:p>
      <w:pPr>
        <w:spacing w:after="120"/>
      </w:pPr>
      <w:r>
        <w:t>El segundo proceso selecciona la extracción más reciente de cada producto y genera tablas planas. Las reglas implementadas son:</w:t>
      </w:r>
    </w:p>
    <w:p>
      <w:pPr>
        <w:spacing w:after="60"/>
        <w:ind w:left="360" w:hanging="259"/>
      </w:pPr>
      <w:r>
        <w:t xml:space="preserve">1. Normalizar nombres en inglés técnico y formato </w:t>
      </w:r>
      <w:r>
        <w:rPr>
          <w:rFonts w:ascii="Consolas" w:hAnsi="Consolas"/>
          <w:sz w:val="19"/>
        </w:rPr>
        <w:t>snake_case</w:t>
      </w:r>
      <w:r>
        <w:t>.</w:t>
      </w:r>
    </w:p>
    <w:p>
      <w:pPr>
        <w:spacing w:after="60"/>
        <w:ind w:left="360" w:hanging="259"/>
      </w:pPr>
      <w:r>
        <w:t>2. Mantener unidades explícitas en los nombres de las columnas.</w:t>
      </w:r>
    </w:p>
    <w:p>
      <w:pPr>
        <w:spacing w:after="60"/>
        <w:ind w:left="360" w:hanging="259"/>
      </w:pPr>
      <w:r>
        <w:t>3. Convertir textos numéricos a valores numéricos sin convertir ausencias en ceros.</w:t>
      </w:r>
    </w:p>
    <w:p>
      <w:pPr>
        <w:spacing w:after="60"/>
        <w:ind w:left="360" w:hanging="259"/>
      </w:pPr>
      <w:r>
        <w:t>4. Transformar fechas a ISO 8601.</w:t>
      </w:r>
    </w:p>
    <w:p>
      <w:pPr>
        <w:spacing w:after="60"/>
        <w:ind w:left="360" w:hanging="259"/>
      </w:pPr>
      <w:r>
        <w:t>5. Normalizar los códigos municipales a cinco posiciones.</w:t>
      </w:r>
    </w:p>
    <w:p>
      <w:pPr>
        <w:spacing w:after="60"/>
        <w:ind w:left="360" w:hanging="259"/>
      </w:pPr>
      <w:r>
        <w:t xml:space="preserve">6. Conservar el código original cuando AEMET devuelve </w:t>
      </w:r>
      <w:r>
        <w:rPr>
          <w:rFonts w:ascii="Consolas" w:hAnsi="Consolas"/>
          <w:sz w:val="19"/>
        </w:rPr>
        <w:t>4013</w:t>
      </w:r>
      <w:r>
        <w:t xml:space="preserve"> en un producto y </w:t>
      </w:r>
      <w:r>
        <w:rPr>
          <w:rFonts w:ascii="Consolas" w:hAnsi="Consolas"/>
          <w:sz w:val="19"/>
        </w:rPr>
        <w:t>04013</w:t>
      </w:r>
      <w:r>
        <w:t xml:space="preserve"> en otro.</w:t>
      </w:r>
    </w:p>
    <w:p>
      <w:pPr>
        <w:spacing w:after="60"/>
        <w:ind w:left="360" w:hanging="259"/>
      </w:pPr>
      <w:r>
        <w:t>7. Aplanar las listas horarias para obtener una fila por instante válido.</w:t>
      </w:r>
    </w:p>
    <w:p>
      <w:pPr>
        <w:spacing w:after="60"/>
        <w:ind w:left="360" w:hanging="259"/>
      </w:pPr>
      <w:r>
        <w:t xml:space="preserve">8. Separar dirección, velocidad y racha del campo heterogéneo </w:t>
      </w:r>
      <w:r>
        <w:rPr>
          <w:rFonts w:ascii="Consolas" w:hAnsi="Consolas"/>
          <w:sz w:val="19"/>
        </w:rPr>
        <w:t>vientoAndRachaMax</w:t>
      </w:r>
      <w:r>
        <w:t>.</w:t>
      </w:r>
    </w:p>
    <w:p>
      <w:pPr>
        <w:spacing w:after="60"/>
        <w:ind w:left="360" w:hanging="259"/>
      </w:pPr>
      <w:r>
        <w:t>9. Asignar las probabilidades por intervalo a cada hora incluida en el periodo.</w:t>
      </w:r>
    </w:p>
    <w:p>
      <w:pPr>
        <w:spacing w:after="60"/>
        <w:ind w:left="360" w:hanging="259"/>
      </w:pPr>
      <w:r>
        <w:t xml:space="preserve">10. Calcular </w:t>
      </w:r>
      <w:r>
        <w:rPr>
          <w:rFonts w:ascii="Consolas" w:hAnsi="Consolas"/>
          <w:sz w:val="19"/>
        </w:rPr>
        <w:t>horizon_days</w:t>
      </w:r>
      <w:r>
        <w:t xml:space="preserve"> y </w:t>
      </w:r>
      <w:r>
        <w:rPr>
          <w:rFonts w:ascii="Consolas" w:hAnsi="Consolas"/>
          <w:sz w:val="19"/>
        </w:rPr>
        <w:t>horizon_hours</w:t>
      </w:r>
      <w:r>
        <w:t xml:space="preserve"> a partir de la fecha de elaboración.</w:t>
      </w:r>
    </w:p>
    <w:p>
      <w:pPr>
        <w:spacing w:after="60"/>
        <w:ind w:left="360" w:hanging="259"/>
      </w:pPr>
      <w:r>
        <w:t>11. Marcar si una hora seguía siendo futura en el momento de publicación.</w:t>
      </w:r>
    </w:p>
    <w:p>
      <w:pPr>
        <w:spacing w:after="60"/>
        <w:ind w:left="360" w:hanging="259"/>
      </w:pPr>
      <w:r>
        <w:t>12. Conservar archivo y fecha de ingestión como columnas de procedencia.</w:t>
      </w:r>
    </w:p>
    <w:p>
      <w:pPr>
        <w:spacing w:after="60"/>
        <w:ind w:left="360" w:hanging="259"/>
      </w:pPr>
      <w:r>
        <w:t xml:space="preserve">13. Convertir el CSV agronómico con separador </w:t>
      </w:r>
      <w:r>
        <w:rPr>
          <w:rFonts w:ascii="Consolas" w:hAnsi="Consolas"/>
          <w:sz w:val="19"/>
        </w:rPr>
        <w:t>;</w:t>
      </w:r>
      <w:r>
        <w:t xml:space="preserve"> y coma decimal sin perder los valores ausentes.</w:t>
      </w:r>
    </w:p>
    <w:p>
      <w:pPr>
        <w:spacing w:after="60"/>
        <w:ind w:left="360" w:hanging="259"/>
      </w:pPr>
      <w:r>
        <w:t xml:space="preserve">14. Comprobar las identidades </w:t>
      </w:r>
      <w:r>
        <w:rPr>
          <w:rFonts w:ascii="Consolas" w:hAnsi="Consolas"/>
          <w:sz w:val="19"/>
        </w:rPr>
        <w:t>ETc ≈ Kc × ET0</w:t>
      </w:r>
      <w:r>
        <w:t xml:space="preserve"> y </w:t>
      </w:r>
      <w:r>
        <w:rPr>
          <w:rFonts w:ascii="Consolas" w:hAnsi="Consolas"/>
          <w:sz w:val="19"/>
        </w:rPr>
        <w:t>necesidad neta ≈ max(ETc − Pe, 0)</w:t>
      </w:r>
      <w:r>
        <w:t xml:space="preserve"> con tolerancia de redondeo.</w:t>
      </w:r>
    </w:p>
    <w:p>
      <w:pPr>
        <w:spacing w:after="120"/>
      </w:pPr>
      <w:r>
        <w:t>No se combinan todavía las observaciones SiAR con las predicciones AEMET. Una observación describe lo que ocurrió y una predicción describe lo que se esperaba en un momento concreto. La unión para evaluación se realizará posteriormente mediante fecha válida, fecha de emisión y horizonte.</w:t>
      </w:r>
    </w:p>
    <w:p>
      <w:pPr>
        <w:pStyle w:val="Heading3"/>
        <w:keepNext/>
      </w:pPr>
      <w:r>
        <w:rPr>
          <w:rFonts w:ascii="Times New Roman" w:hAnsi="Times New Roman"/>
          <w:color w:val="000000"/>
          <w:sz w:val="24"/>
        </w:rPr>
        <w:t>4.1.6. Tablas interim</w:t>
      </w:r>
    </w:p>
    <w:p>
      <w:pPr>
        <w:spacing w:after="120"/>
      </w:pPr>
      <w:r>
        <w:t>El proceso genera cinco CSV codificados en UTF-8:</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6"/>
        <w:gridCol w:w="2256"/>
        <w:gridCol w:w="2256"/>
        <w:gridCol w:w="2256"/>
      </w:tblGrid>
      <w:tr>
        <w:trPr>
          <w:tblHeader w:val="true"/>
          <w:cantSplit/>
        </w:trPr>
        <w:tc>
          <w:tcPr>
            <w:tcW w:type="dxa" w:w="2256"/>
            <w:vAlign w:val="center"/>
            <w:tcMar>
              <w:top w:w="90" w:type="dxa"/>
              <w:start w:w="100" w:type="dxa"/>
              <w:bottom w:w="90" w:type="dxa"/>
              <w:end w:w="100" w:type="dxa"/>
            </w:tcMar>
            <w:shd w:fill="1F4E78"/>
          </w:tcPr>
          <w:p>
            <w:pPr>
              <w:jc w:val="left"/>
            </w:pPr>
            <w:r>
              <w:rPr>
                <w:rFonts w:ascii="Times New Roman" w:hAnsi="Times New Roman"/>
                <w:b/>
                <w:color w:val="FFFFFF"/>
                <w:sz w:val="16"/>
              </w:rPr>
              <w:t>Tabla</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Granularidad</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Filas iniciales</w:t>
            </w:r>
          </w:p>
        </w:tc>
        <w:tc>
          <w:tcPr>
            <w:tcW w:type="dxa" w:w="2256"/>
            <w:vAlign w:val="center"/>
            <w:tcMar>
              <w:top w:w="90" w:type="dxa"/>
              <w:start w:w="100" w:type="dxa"/>
              <w:bottom w:w="90" w:type="dxa"/>
              <w:end w:w="100" w:type="dxa"/>
            </w:tcMar>
            <w:shd w:fill="1F4E78"/>
          </w:tcPr>
          <w:p>
            <w:pPr>
              <w:jc w:val="center"/>
            </w:pPr>
            <w:r>
              <w:rPr>
                <w:rFonts w:ascii="Times New Roman" w:hAnsi="Times New Roman"/>
                <w:b/>
                <w:color w:val="FFFFFF"/>
                <w:sz w:val="16"/>
              </w:rPr>
              <w:t>Uso previsto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siar_weather_daily.csv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Estación y fecha observada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Histórico agroclimático.</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siar_crop_water_needs_daily.csv</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Estación, cultivo y fecha</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Baseline de necesidad neta de riego.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aemet_forecast_daily.csv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Municipio, emisión y fecha válida</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Planificación de varios días.</w:t>
            </w:r>
          </w:p>
        </w:tc>
      </w:tr>
      <w:tr>
        <w:trPr>
          <w:cantSplit/>
        </w:trPr>
        <w:tc>
          <w:tcPr>
            <w:tcW w:type="dxa" w:w="2256"/>
            <w:vAlign w:val="center"/>
            <w:tcMar>
              <w:top w:w="90" w:type="dxa"/>
              <w:start w:w="100" w:type="dxa"/>
              <w:bottom w:w="90" w:type="dxa"/>
              <w:end w:w="100" w:type="dxa"/>
            </w:tcMar>
            <w:shd w:fill="EAF2F8"/>
          </w:tcPr>
          <w:p>
            <w:pPr>
              <w:jc w:val="left"/>
            </w:pPr>
            <w:r>
              <w:rPr>
                <w:rFonts w:ascii="Times New Roman" w:hAnsi="Times New Roman"/>
                <w:color w:val="000000"/>
                <w:sz w:val="16"/>
              </w:rPr>
              <w:t>aemet_forecast_hourly.csv</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Municipio, emisión e instante válido</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2256"/>
            <w:vAlign w:val="center"/>
            <w:tcMar>
              <w:top w:w="90" w:type="dxa"/>
              <w:start w:w="100" w:type="dxa"/>
              <w:bottom w:w="90" w:type="dxa"/>
              <w:end w:w="100" w:type="dxa"/>
            </w:tcMar>
            <w:shd w:fill="EAF2F8"/>
          </w:tcPr>
          <w:p>
            <w:pPr>
              <w:jc w:val="center"/>
            </w:pPr>
            <w:r>
              <w:rPr>
                <w:rFonts w:ascii="Times New Roman" w:hAnsi="Times New Roman"/>
                <w:color w:val="000000"/>
                <w:sz w:val="16"/>
              </w:rPr>
              <w:t>Decisiones de corto plazo.</w:t>
            </w:r>
          </w:p>
        </w:tc>
      </w:tr>
      <w:tr>
        <w:trPr>
          <w:cantSplit/>
        </w:trPr>
        <w:tc>
          <w:tcPr>
            <w:tcW w:type="dxa" w:w="2256"/>
            <w:vAlign w:val="center"/>
            <w:tcMar>
              <w:top w:w="90" w:type="dxa"/>
              <w:start w:w="100" w:type="dxa"/>
              <w:bottom w:w="90" w:type="dxa"/>
              <w:end w:w="100" w:type="dxa"/>
            </w:tcMar>
          </w:tcPr>
          <w:p>
            <w:pPr>
              <w:jc w:val="left"/>
            </w:pPr>
            <w:r>
              <w:rPr>
                <w:rFonts w:ascii="Times New Roman" w:hAnsi="Times New Roman"/>
                <w:color w:val="000000"/>
                <w:sz w:val="16"/>
              </w:rPr>
              <w:t>quality_summary.csv</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Conjunto de datos</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4</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Control de duplicados, cobertura y avisos.</w:t>
            </w:r>
          </w:p>
        </w:tc>
      </w:tr>
    </w:tbl>
    <w:p>
      <w:pPr>
        <w:spacing w:after="40"/>
      </w:pPr>
    </w:p>
    <w:p>
      <w:pPr>
        <w:spacing w:after="120"/>
      </w:pPr>
      <w:r>
        <w:t>Ejemplo de la tabla diaria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Fecha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Temperatura media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Humedad media (%)</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ET0 (mm/día)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Calidad</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01/05/2025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19,62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75,60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4,72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PASS</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02/05/2025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21,47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59,55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5,57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PASS</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03/05/2025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19,93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58,28</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5,27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PASS</w:t>
            </w:r>
          </w:p>
        </w:tc>
      </w:tr>
    </w:tbl>
    <w:p>
      <w:pPr>
        <w:spacing w:after="40"/>
      </w:pPr>
    </w:p>
    <w:p>
      <w:pPr>
        <w:spacing w:after="120"/>
      </w:pPr>
      <w:r>
        <w:t>Ejemplo de necesidades hídricas del pimiento: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4"/>
        <w:gridCol w:w="1504"/>
        <w:gridCol w:w="1504"/>
        <w:gridCol w:w="1504"/>
        <w:gridCol w:w="1504"/>
        <w:gridCol w:w="1504"/>
      </w:tblGrid>
      <w:tr>
        <w:trPr>
          <w:tblHeader w:val="true"/>
          <w:cantSplit/>
        </w:trPr>
        <w:tc>
          <w:tcPr>
            <w:tcW w:type="dxa" w:w="1504"/>
            <w:vAlign w:val="center"/>
            <w:tcMar>
              <w:top w:w="90" w:type="dxa"/>
              <w:start w:w="100" w:type="dxa"/>
              <w:bottom w:w="90" w:type="dxa"/>
              <w:end w:w="100" w:type="dxa"/>
            </w:tcMar>
            <w:shd w:fill="1F4E78"/>
          </w:tcPr>
          <w:p>
            <w:pPr>
              <w:jc w:val="left"/>
            </w:pPr>
            <w:r>
              <w:rPr>
                <w:rFonts w:ascii="Times New Roman" w:hAnsi="Times New Roman"/>
                <w:b/>
                <w:color w:val="FFFFFF"/>
                <w:sz w:val="16"/>
              </w:rPr>
              <w:t>Fecha</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Kc</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ET0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ETc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Pe (mm)</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Necesidad neta (mm)</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01/05/2025</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4,72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2,36</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01/07/2025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0,90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6,05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5,45</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01/08/2025</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5,26</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01/09/2025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4,56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1,37</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0,00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1,37</w:t>
            </w:r>
          </w:p>
        </w:tc>
      </w:tr>
    </w:tbl>
    <w:p>
      <w:pPr>
        <w:spacing w:after="40"/>
      </w:pPr>
    </w:p>
    <w:p>
      <w:pPr>
        <w:spacing w:after="120"/>
      </w:pPr>
      <w:r>
        <w:t>Ejemplo de la predicción diaria AEMET: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Fecha válida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Horizonte</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Tmin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Tmax (°C)</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Probabilidad máxima de lluvia</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24/09/2026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D+0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25/09/2026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27</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26/09/2026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D+2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0 %</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28/09/2026</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D+4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21</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30 %</w:t>
            </w:r>
          </w:p>
        </w:tc>
      </w:tr>
    </w:tbl>
    <w:p>
      <w:pPr>
        <w:spacing w:after="40"/>
      </w:pPr>
    </w:p>
    <w:p>
      <w:pPr>
        <w:pStyle w:val="Heading3"/>
        <w:keepNext/>
      </w:pPr>
      <w:r>
        <w:rPr>
          <w:rFonts w:ascii="Times New Roman" w:hAnsi="Times New Roman"/>
          <w:color w:val="000000"/>
          <w:sz w:val="24"/>
        </w:rPr>
        <w:t>4.1.7. Volumen antes y después de la limpieza</w:t>
      </w:r>
    </w:p>
    <w:p>
      <w:pPr>
        <w:spacing w:after="120"/>
      </w:pPr>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8"/>
        <w:gridCol w:w="1128"/>
        <w:gridCol w:w="1128"/>
        <w:gridCol w:w="1128"/>
        <w:gridCol w:w="1128"/>
        <w:gridCol w:w="1128"/>
        <w:gridCol w:w="1128"/>
        <w:gridCol w:w="1128"/>
      </w:tblGrid>
      <w:tr>
        <w:trPr>
          <w:tblHeader w:val="true"/>
          <w:cantSplit/>
        </w:trPr>
        <w:tc>
          <w:tcPr>
            <w:tcW w:type="dxa" w:w="1128"/>
            <w:vAlign w:val="center"/>
            <w:tcMar>
              <w:top w:w="90" w:type="dxa"/>
              <w:start w:w="100" w:type="dxa"/>
              <w:bottom w:w="90" w:type="dxa"/>
              <w:end w:w="100" w:type="dxa"/>
            </w:tcMar>
            <w:shd w:fill="1F4E78"/>
          </w:tcPr>
          <w:p>
            <w:pPr>
              <w:jc w:val="left"/>
            </w:pPr>
            <w:r>
              <w:rPr>
                <w:rFonts w:ascii="Times New Roman" w:hAnsi="Times New Roman"/>
                <w:b/>
                <w:color w:val="FFFFFF"/>
                <w:sz w:val="16"/>
              </w:rPr>
              <w:t>Etapa</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Conjunto</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Entrada o salida</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Filas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Variables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Filas válidas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Avisos</w:t>
            </w:r>
          </w:p>
        </w:tc>
        <w:tc>
          <w:tcPr>
            <w:tcW w:type="dxa" w:w="1128"/>
            <w:vAlign w:val="center"/>
            <w:tcMar>
              <w:top w:w="90" w:type="dxa"/>
              <w:start w:w="100" w:type="dxa"/>
              <w:bottom w:w="90" w:type="dxa"/>
              <w:end w:w="100" w:type="dxa"/>
            </w:tcMar>
            <w:shd w:fill="1F4E78"/>
          </w:tcPr>
          <w:p>
            <w:pPr>
              <w:jc w:val="center"/>
            </w:pPr>
            <w:r>
              <w:rPr>
                <w:rFonts w:ascii="Times New Roman" w:hAnsi="Times New Roman"/>
                <w:b/>
                <w:color w:val="FFFFFF"/>
                <w:sz w:val="16"/>
              </w:rPr>
              <w:t>Duplicados</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SiAR meteorológico</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JSON original</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Raw externo</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Necesidades del pimiento</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 oficial</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6</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AEMET diaria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Objeto municipal</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Raw</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AEMET horaria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Objeto municipal</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SiAR meteorológico normalizado</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148 con ET0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Necesidades hídricas normalizadas</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15</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148 con necesidad neta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Predicción AEMET diaria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shd w:fill="EAF2F8"/>
          </w:tcPr>
          <w:p>
            <w:pPr>
              <w:jc w:val="left"/>
            </w:pPr>
            <w:r>
              <w:rPr>
                <w:rFonts w:ascii="Times New Roman" w:hAnsi="Times New Roman"/>
                <w:color w:val="000000"/>
                <w:sz w:val="16"/>
              </w:rPr>
              <w:t>Interim</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Predicción AEMET horaria</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22</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45 sin avisos</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c>
          <w:tcPr>
            <w:tcW w:type="dxa" w:w="1128"/>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r>
      <w:tr>
        <w:trPr>
          <w:cantSplit/>
        </w:trPr>
        <w:tc>
          <w:tcPr>
            <w:tcW w:type="dxa" w:w="1128"/>
            <w:vAlign w:val="center"/>
            <w:tcMar>
              <w:top w:w="90" w:type="dxa"/>
              <w:start w:w="100" w:type="dxa"/>
              <w:bottom w:w="90" w:type="dxa"/>
              <w:end w:w="100" w:type="dxa"/>
            </w:tcMar>
          </w:tcPr>
          <w:p>
            <w:pPr>
              <w:jc w:val="left"/>
            </w:pPr>
            <w:r>
              <w:rPr>
                <w:rFonts w:ascii="Times New Roman" w:hAnsi="Times New Roman"/>
                <w:color w:val="000000"/>
                <w:sz w:val="16"/>
              </w:rPr>
              <w:t>Processed</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Tabla analítica integrada</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CSV</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88</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148 etiquetas</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w:t>
            </w:r>
          </w:p>
        </w:tc>
      </w:tr>
    </w:tbl>
    <w:p>
      <w:pPr>
        <w:spacing w:after="40"/>
      </w:pPr>
    </w:p>
    <w:p>
      <w:pPr>
        <w:spacing w:after="120"/>
      </w:pPr>
      <w:r>
        <w:t xml:space="preserve">En AEMET, una fila raw representa un objeto municipal que contiene una serie anidada. La normalización lo despliega en siete fechas diarias y 48 instantes horarios; por tanto, el aumento de filas no es una duplicación. La tabla </w:t>
      </w:r>
      <w:r>
        <w:rPr>
          <w:rFonts w:ascii="Consolas" w:hAnsi="Consolas"/>
          <w:sz w:val="19"/>
        </w:rPr>
        <w:t>processed</w:t>
      </w:r>
      <w:r>
        <w:t xml:space="preserve">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pPr>
        <w:spacing w:after="120"/>
      </w:pPr>
      <w:r>
        <w:t xml:space="preserve">Estas cifras se regeneran mediante </w:t>
      </w:r>
      <w:r>
        <w:rPr>
          <w:rFonts w:ascii="Consolas" w:hAnsi="Consolas"/>
          <w:sz w:val="19"/>
        </w:rPr>
        <w:t>python -m src.analysis.build_etl_audit_4_1</w:t>
      </w:r>
      <w:r>
        <w:t xml:space="preserve"> y quedan registradas en </w:t>
      </w:r>
      <w:r>
        <w:rPr>
          <w:rFonts w:ascii="Consolas" w:hAnsi="Consolas"/>
          <w:sz w:val="19"/>
        </w:rPr>
        <w:t>docs/data_samples/etl_volume_summary_4_1.csv</w:t>
      </w:r>
      <w:r>
        <w:t>. De esta forma, la tabla de la memoria puede contrastarse con los archivos reales del proyecto.</w:t>
      </w:r>
    </w:p>
    <w:p>
      <w:pPr>
        <w:pStyle w:val="Heading3"/>
        <w:keepNext/>
      </w:pPr>
      <w:r>
        <w:rPr>
          <w:rFonts w:ascii="Times New Roman" w:hAnsi="Times New Roman"/>
          <w:color w:val="000000"/>
          <w:sz w:val="24"/>
        </w:rPr>
        <w:t>4.1.8. Controles de calidad</w:t>
      </w:r>
    </w:p>
    <w:p>
      <w:pPr>
        <w:spacing w:after="120"/>
      </w:pPr>
      <w:r>
        <w:t xml:space="preserve">Cada registro recibe </w:t>
      </w:r>
      <w:r>
        <w:rPr>
          <w:rFonts w:ascii="Consolas" w:hAnsi="Consolas"/>
          <w:sz w:val="19"/>
        </w:rPr>
        <w:t>quality_status</w:t>
      </w:r>
      <w:r>
        <w:t xml:space="preserve"> y </w:t>
      </w:r>
      <w:r>
        <w:rPr>
          <w:rFonts w:ascii="Consolas" w:hAnsi="Consolas"/>
          <w:sz w:val="19"/>
        </w:rPr>
        <w:t>quality_issues</w:t>
      </w:r>
      <w:r>
        <w:t>. Se comprueban:</w:t>
      </w:r>
    </w:p>
    <w:p>
      <w:pPr>
        <w:spacing w:after="60"/>
        <w:ind w:left="360" w:hanging="259"/>
      </w:pPr>
      <w:r>
        <w:t>• presencia de variables críticas;</w:t>
      </w:r>
    </w:p>
    <w:p>
      <w:pPr>
        <w:spacing w:after="60"/>
        <w:ind w:left="360" w:hanging="259"/>
      </w:pPr>
      <w:r>
        <w:t>• orden lógico entre temperatura mínima, media y máxima;</w:t>
      </w:r>
    </w:p>
    <w:p>
      <w:pPr>
        <w:spacing w:after="60"/>
        <w:ind w:left="360" w:hanging="259"/>
      </w:pPr>
      <w:r>
        <w:t>• humedad entre 0 % y 100 %;</w:t>
      </w:r>
    </w:p>
    <w:p>
      <w:pPr>
        <w:spacing w:after="60"/>
        <w:ind w:left="360" w:hanging="259"/>
      </w:pPr>
      <w:r>
        <w:t>• precipitación, viento, radiación y ET0 no negativos;</w:t>
      </w:r>
    </w:p>
    <w:p>
      <w:pPr>
        <w:spacing w:after="60"/>
        <w:ind w:left="360" w:hanging="259"/>
      </w:pPr>
      <w:r>
        <w:t>• probabilidad entre 0 % y 100 %;</w:t>
      </w:r>
    </w:p>
    <w:p>
      <w:pPr>
        <w:spacing w:after="60"/>
        <w:ind w:left="360" w:hanging="259"/>
      </w:pPr>
      <w:r>
        <w:t>• unicidad de las claves lógicas;</w:t>
      </w:r>
    </w:p>
    <w:p>
      <w:pPr>
        <w:spacing w:after="60"/>
        <w:ind w:left="360" w:hanging="259"/>
      </w:pPr>
      <w:r>
        <w:t>• continuidad del calendario entre la primera y la última fecha;</w:t>
      </w:r>
    </w:p>
    <w:p>
      <w:pPr>
        <w:spacing w:after="60"/>
        <w:ind w:left="360" w:hanging="259"/>
      </w:pPr>
      <w:r>
        <w:t>• trazabilidad hasta el archivo raw.</w:t>
      </w:r>
    </w:p>
    <w:p>
      <w:pPr>
        <w:spacing w:after="120"/>
      </w:pPr>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pPr>
        <w:spacing w:after="120"/>
      </w:pPr>
      <w:r>
        <w:t>El resumen obtenido fue: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Tabla</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Filas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Duplicados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Filas con avisos</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Fechas ausentes</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SiAR diaria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150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3</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Necesidades hídricas de pimiento</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150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AEMET diaria</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AEMET horaria</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48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n.a.</w:t>
            </w:r>
          </w:p>
        </w:tc>
      </w:tr>
    </w:tbl>
    <w:p>
      <w:pPr>
        <w:spacing w:after="40"/>
      </w:pPr>
    </w:p>
    <w:p>
      <w:pPr>
        <w:pStyle w:val="Heading3"/>
        <w:keepNext/>
      </w:pPr>
      <w:r>
        <w:rPr>
          <w:rFonts w:ascii="Times New Roman" w:hAnsi="Times New Roman"/>
          <w:color w:val="000000"/>
          <w:sz w:val="24"/>
        </w:rPr>
        <w:t>4.1.9. Almacenamiento y escalabilidad</w:t>
      </w:r>
    </w:p>
    <w:p>
      <w:pPr>
        <w:spacing w:after="120"/>
      </w:pPr>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pPr>
        <w:spacing w:after="120"/>
      </w:pPr>
      <w:r>
        <w:t>La futura base MySQL almacenará catálogos, recomendaciones y metadatos que deban consultarse transaccionalmente. Los históricos voluminosos y artefactos de modelo podrán permanecer en almacenamiento de objetos. Esta separación evita utilizar la base transaccional como repositorio de archivos y mantiene una arquitectura compatible con ejecución local y despliegue cloud.</w:t>
      </w:r>
    </w:p>
    <w:p>
      <w:pPr>
        <w:pStyle w:val="Heading3"/>
        <w:keepNext/>
      </w:pPr>
      <w:r>
        <w:rPr>
          <w:rFonts w:ascii="Times New Roman" w:hAnsi="Times New Roman"/>
          <w:color w:val="000000"/>
          <w:sz w:val="24"/>
        </w:rPr>
        <w:t>4.1.10. Reproducibilidad y seguridad</w:t>
      </w:r>
    </w:p>
    <w:p>
      <w:pPr>
        <w:spacing w:after="120"/>
      </w:pPr>
      <w:r>
        <w:t>El proceso se reproduce mediante:</w:t>
      </w:r>
    </w:p>
    <w:p>
      <w:pPr>
        <w:spacing w:before="80" w:after="140"/>
        <w:ind w:left="360" w:right="216"/>
        <w:jc w:val="left"/>
        <w:shd w:fill="F2F2F2"/>
      </w:pPr>
      <w:r>
        <w:rPr>
          <w:rFonts w:ascii="Consolas" w:hAnsi="Consolas"/>
          <w:sz w:val="17"/>
        </w:rPr>
        <w:t>python -m src.data.extract_pilot</w:t>
        <w:br/>
      </w:r>
      <w:r>
        <w:rPr>
          <w:rFonts w:ascii="Consolas" w:hAnsi="Consolas"/>
          <w:sz w:val="17"/>
        </w:rPr>
        <w:t>python -m src.data.extract_siar_history --start-date 2025-05-01 --end-date 2025-09-30</w:t>
        <w:br/>
      </w:r>
      <w:r>
        <w:rPr>
          <w:rFonts w:ascii="Consolas" w:hAnsi="Consolas"/>
          <w:sz w:val="17"/>
        </w:rPr>
        <w:t>python -m src.data.transform_interim</w:t>
        <w:br/>
      </w:r>
      <w:r>
        <w:rPr>
          <w:rFonts w:ascii="Consolas" w:hAnsi="Consolas"/>
          <w:sz w:val="17"/>
        </w:rPr>
        <w:t>python -m src.analysis.build_etl_audit_4_1</w:t>
        <w:br/>
      </w:r>
      <w:r>
        <w:rPr>
          <w:rFonts w:ascii="Consolas" w:hAnsi="Consolas"/>
          <w:sz w:val="17"/>
        </w:rPr>
        <w:t>python -m src.visualization.build_etl_visual</w:t>
      </w:r>
    </w:p>
    <w:p>
      <w:pPr>
        <w:spacing w:after="120"/>
      </w:pPr>
      <w:r>
        <w:t>Las pruebas automatizadas verifican construcción de consultas, fechas, descarga en dos pasos, ocultación de credenciales, validación de URLs, estructura de los archivos raw, normalización de códigos, cálculo de horizontes y aplanado de viento y rachas.</w:t>
      </w:r>
    </w:p>
    <w:p>
      <w:pPr>
        <w:spacing w:after="120"/>
      </w:pPr>
      <w:r>
        <w:t xml:space="preserve">Las credenciales se guardan únicamente en </w:t>
      </w:r>
      <w:r>
        <w:rPr>
          <w:rFonts w:ascii="Consolas" w:hAnsi="Consolas"/>
          <w:sz w:val="19"/>
        </w:rPr>
        <w:t>.env</w:t>
      </w:r>
      <w:r>
        <w:t xml:space="preserve">, excluido de Git. El archivo </w:t>
      </w:r>
      <w:r>
        <w:rPr>
          <w:rFonts w:ascii="Consolas" w:hAnsi="Consolas"/>
          <w:sz w:val="19"/>
        </w:rPr>
        <w:t>.env.example</w:t>
      </w:r>
      <w:r>
        <w:t xml:space="preserve"> documenta los nombres de las variables sin incluir valores reales.</w:t>
      </w:r>
    </w:p>
    <w:p>
      <w:pPr>
        <w:pStyle w:val="Heading3"/>
        <w:keepNext/>
      </w:pPr>
      <w:r>
        <w:rPr>
          <w:rFonts w:ascii="Times New Roman" w:hAnsi="Times New Roman"/>
          <w:color w:val="000000"/>
          <w:sz w:val="24"/>
        </w:rPr>
        <w:t>4.1.11. Limitaciones</w:t>
      </w:r>
    </w:p>
    <w:p>
      <w:pPr>
        <w:spacing w:after="120"/>
      </w:pPr>
      <w:r>
        <w:t>El ciclo completo permite validar la integración, pero un único año y una sola estación todavía no son suficientes para entrenar un modelo generalizable. Antes del modelado se deberán añadir varias campañas y, si el alcance lo exige, otras estaciones de Almería. También se verificará la unidad contractual de cada variable con la documentación oficial. SiAR y AEMET representan el entorno de sus estaciones o municipios, por lo que la recomendación deberá declarar esta limitación e incorporar datos locales de parcela cuando estén disponibles.</w:t>
      </w:r>
    </w:p>
    <w:p>
      <w:pPr>
        <w:pStyle w:val="Heading2"/>
      </w:pPr>
      <w:r>
        <w:t>4.2. Análisis exploratorio y preparación de variables</w:t>
      </w:r>
    </w:p>
    <w:p>
      <w:pPr>
        <w:spacing w:after="120" w:line="276" w:lineRule="auto"/>
        <w:jc w:val="both"/>
      </w:pPr>
      <w:r>
        <w:rPr>
          <w:rFonts w:ascii="Times New Roman" w:hAnsi="Times New Roman"/>
          <w:color w:val="000000"/>
          <w:sz w:val="24"/>
        </w:rP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pPr>
        <w:keepNext/>
        <w:spacing w:before="200" w:after="80"/>
      </w:pPr>
      <w:r>
        <w:rPr>
          <w:rFonts w:ascii="Times New Roman" w:hAnsi="Times New Roman"/>
          <w:b/>
          <w:color w:val="000000"/>
          <w:sz w:val="24"/>
        </w:rPr>
        <w:t>4.2.1. Alcance y unidad de análisis</w:t>
      </w:r>
    </w:p>
    <w:p>
      <w:pPr>
        <w:spacing w:after="120" w:line="276" w:lineRule="auto"/>
        <w:jc w:val="both"/>
      </w:pPr>
      <w:r>
        <w:rPr>
          <w:rFonts w:ascii="Times New Roman" w:hAnsi="Times New Roman"/>
          <w:color w:val="000000"/>
          <w:sz w:val="24"/>
        </w:rP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tbl>
      <w:tblPr>
        <w:tblW w:type="auto" w:w="0"/>
        <w:jc w:val="center"/>
        <w:tblLayout w:type="fixed"/>
        <w:tblLook w:firstColumn="1" w:firstRow="1" w:lastColumn="0" w:lastRow="0" w:noHBand="0" w:noVBand="1" w:val="04A0"/>
      </w:tblPr>
      <w:tblGrid>
        <w:gridCol w:w="4392"/>
        <w:gridCol w:w="4392"/>
      </w:tblGrid>
      <w:tr>
        <w:trPr>
          <w:tblHeader w:val="true"/>
        </w:trPr>
        <w:tc>
          <w:tcPr>
            <w:tcW w:type="dxa" w:w="5112"/>
            <w:vAlign w:val="center"/>
            <w:shd w:fill="1F4E79"/>
          </w:tcPr>
          <w:p>
            <w:pPr>
              <w:spacing w:after="0"/>
              <w:jc w:val="center"/>
            </w:pPr>
            <w:r>
              <w:rPr>
                <w:rFonts w:ascii="Arial" w:hAnsi="Arial"/>
                <w:b/>
                <w:color w:val="FFFFFF"/>
                <w:sz w:val="18"/>
              </w:rPr>
              <w:t>Indicador</w:t>
            </w:r>
          </w:p>
        </w:tc>
        <w:tc>
          <w:tcPr>
            <w:tcW w:type="dxa" w:w="3671"/>
            <w:vAlign w:val="center"/>
            <w:shd w:fill="1F4E79"/>
          </w:tcPr>
          <w:p>
            <w:pPr>
              <w:spacing w:after="0"/>
              <w:jc w:val="center"/>
            </w:pPr>
            <w:r>
              <w:rPr>
                <w:rFonts w:ascii="Arial" w:hAnsi="Arial"/>
                <w:b/>
                <w:color w:val="FFFFFF"/>
                <w:sz w:val="18"/>
              </w:rPr>
              <w:t>Resultado</w:t>
            </w:r>
          </w:p>
        </w:tc>
      </w:tr>
      <w:tr>
        <w:trPr>
          <w:cantSplit/>
        </w:trPr>
        <w:tc>
          <w:tcPr>
            <w:tcW w:type="dxa" w:w="5112"/>
            <w:vAlign w:val="center"/>
          </w:tcPr>
          <w:p>
            <w:pPr>
              <w:spacing w:after="0"/>
              <w:jc w:val="left"/>
            </w:pPr>
            <w:r>
              <w:rPr>
                <w:rFonts w:ascii="Arial" w:hAnsi="Arial"/>
                <w:color w:val="000000"/>
                <w:sz w:val="18"/>
              </w:rPr>
              <w:t>Periodo esperado</w:t>
            </w:r>
          </w:p>
        </w:tc>
        <w:tc>
          <w:tcPr>
            <w:tcW w:type="dxa" w:w="3671"/>
            <w:vAlign w:val="center"/>
          </w:tcPr>
          <w:p>
            <w:pPr>
              <w:spacing w:after="0"/>
              <w:jc w:val="center"/>
            </w:pPr>
            <w:r>
              <w:rPr>
                <w:rFonts w:ascii="Arial" w:hAnsi="Arial"/>
                <w:color w:val="000000"/>
                <w:sz w:val="18"/>
              </w:rPr>
              <w:t>01/05/2025–30/09/2025</w:t>
            </w:r>
          </w:p>
        </w:tc>
      </w:tr>
      <w:tr>
        <w:trPr>
          <w:cantSplit/>
        </w:trPr>
        <w:tc>
          <w:tcPr>
            <w:tcW w:type="dxa" w:w="5112"/>
            <w:vAlign w:val="center"/>
            <w:shd w:fill="EAF1F8"/>
          </w:tcPr>
          <w:p>
            <w:pPr>
              <w:spacing w:after="0"/>
              <w:jc w:val="left"/>
            </w:pPr>
            <w:r>
              <w:rPr>
                <w:rFonts w:ascii="Arial" w:hAnsi="Arial"/>
                <w:color w:val="000000"/>
                <w:sz w:val="18"/>
              </w:rPr>
              <w:t>Días naturales esperados</w:t>
            </w:r>
          </w:p>
        </w:tc>
        <w:tc>
          <w:tcPr>
            <w:tcW w:type="dxa" w:w="3671"/>
            <w:vAlign w:val="center"/>
            <w:shd w:fill="EAF1F8"/>
          </w:tcPr>
          <w:p>
            <w:pPr>
              <w:spacing w:after="0"/>
              <w:jc w:val="center"/>
            </w:pPr>
            <w:r>
              <w:rPr>
                <w:rFonts w:ascii="Arial" w:hAnsi="Arial"/>
                <w:color w:val="000000"/>
                <w:sz w:val="18"/>
              </w:rPr>
              <w:t>153</w:t>
            </w:r>
          </w:p>
        </w:tc>
      </w:tr>
      <w:tr>
        <w:trPr>
          <w:cantSplit/>
        </w:trPr>
        <w:tc>
          <w:tcPr>
            <w:tcW w:type="dxa" w:w="5112"/>
            <w:vAlign w:val="center"/>
          </w:tcPr>
          <w:p>
            <w:pPr>
              <w:spacing w:after="0"/>
              <w:jc w:val="left"/>
            </w:pPr>
            <w:r>
              <w:rPr>
                <w:rFonts w:ascii="Arial" w:hAnsi="Arial"/>
                <w:color w:val="000000"/>
                <w:sz w:val="18"/>
              </w:rPr>
              <w:t>Días observados</w:t>
            </w:r>
          </w:p>
        </w:tc>
        <w:tc>
          <w:tcPr>
            <w:tcW w:type="dxa" w:w="3671"/>
            <w:vAlign w:val="center"/>
          </w:tcPr>
          <w:p>
            <w:pPr>
              <w:spacing w:after="0"/>
              <w:jc w:val="center"/>
            </w:pPr>
            <w:r>
              <w:rPr>
                <w:rFonts w:ascii="Arial" w:hAnsi="Arial"/>
                <w:color w:val="000000"/>
                <w:sz w:val="18"/>
              </w:rPr>
              <w:t>150</w:t>
            </w:r>
          </w:p>
        </w:tc>
      </w:tr>
      <w:tr>
        <w:trPr>
          <w:cantSplit/>
        </w:trPr>
        <w:tc>
          <w:tcPr>
            <w:tcW w:type="dxa" w:w="5112"/>
            <w:vAlign w:val="center"/>
            <w:shd w:fill="EAF1F8"/>
          </w:tcPr>
          <w:p>
            <w:pPr>
              <w:spacing w:after="0"/>
              <w:jc w:val="left"/>
            </w:pPr>
            <w:r>
              <w:rPr>
                <w:rFonts w:ascii="Arial" w:hAnsi="Arial"/>
                <w:color w:val="000000"/>
                <w:sz w:val="18"/>
              </w:rPr>
              <w:t>Fechas ausentes</w:t>
            </w:r>
          </w:p>
        </w:tc>
        <w:tc>
          <w:tcPr>
            <w:tcW w:type="dxa" w:w="3671"/>
            <w:vAlign w:val="center"/>
            <w:shd w:fill="EAF1F8"/>
          </w:tcPr>
          <w:p>
            <w:pPr>
              <w:spacing w:after="0"/>
              <w:jc w:val="center"/>
            </w:pPr>
            <w:r>
              <w:rPr>
                <w:rFonts w:ascii="Arial" w:hAnsi="Arial"/>
                <w:color w:val="000000"/>
                <w:sz w:val="18"/>
              </w:rPr>
              <w:t>18, 19 y 20 de julio de 2025</w:t>
            </w:r>
          </w:p>
        </w:tc>
      </w:tr>
      <w:tr>
        <w:trPr>
          <w:cantSplit/>
        </w:trPr>
        <w:tc>
          <w:tcPr>
            <w:tcW w:type="dxa" w:w="5112"/>
            <w:vAlign w:val="center"/>
          </w:tcPr>
          <w:p>
            <w:pPr>
              <w:spacing w:after="0"/>
              <w:jc w:val="left"/>
            </w:pPr>
            <w:r>
              <w:rPr>
                <w:rFonts w:ascii="Arial" w:hAnsi="Arial"/>
                <w:color w:val="000000"/>
                <w:sz w:val="18"/>
              </w:rPr>
              <w:t>Claves duplicadas</w:t>
            </w:r>
          </w:p>
        </w:tc>
        <w:tc>
          <w:tcPr>
            <w:tcW w:type="dxa" w:w="3671"/>
            <w:vAlign w:val="center"/>
          </w:tcPr>
          <w:p>
            <w:pPr>
              <w:spacing w:after="0"/>
              <w:jc w:val="center"/>
            </w:pPr>
            <w:r>
              <w:rPr>
                <w:rFonts w:ascii="Arial" w:hAnsi="Arial"/>
                <w:color w:val="000000"/>
                <w:sz w:val="18"/>
              </w:rPr>
              <w:t>0</w:t>
            </w:r>
          </w:p>
        </w:tc>
      </w:tr>
      <w:tr>
        <w:trPr>
          <w:cantSplit/>
        </w:trPr>
        <w:tc>
          <w:tcPr>
            <w:tcW w:type="dxa" w:w="5112"/>
            <w:vAlign w:val="center"/>
            <w:shd w:fill="EAF1F8"/>
          </w:tcPr>
          <w:p>
            <w:pPr>
              <w:spacing w:after="0"/>
              <w:jc w:val="left"/>
            </w:pPr>
            <w:r>
              <w:rPr>
                <w:rFonts w:ascii="Arial" w:hAnsi="Arial"/>
                <w:color w:val="000000"/>
                <w:sz w:val="18"/>
              </w:rPr>
              <w:t>Filas PASS / WARN</w:t>
            </w:r>
          </w:p>
        </w:tc>
        <w:tc>
          <w:tcPr>
            <w:tcW w:type="dxa" w:w="3671"/>
            <w:vAlign w:val="center"/>
            <w:shd w:fill="EAF1F8"/>
          </w:tcPr>
          <w:p>
            <w:pPr>
              <w:spacing w:after="0"/>
              <w:jc w:val="center"/>
            </w:pPr>
            <w:r>
              <w:rPr>
                <w:rFonts w:ascii="Arial" w:hAnsi="Arial"/>
                <w:color w:val="000000"/>
                <w:sz w:val="18"/>
              </w:rPr>
              <w:t>148 / 2</w:t>
            </w:r>
          </w:p>
        </w:tc>
      </w:tr>
      <w:tr>
        <w:trPr>
          <w:cantSplit/>
        </w:trPr>
        <w:tc>
          <w:tcPr>
            <w:tcW w:type="dxa" w:w="5112"/>
            <w:vAlign w:val="center"/>
          </w:tcPr>
          <w:p>
            <w:pPr>
              <w:spacing w:after="0"/>
              <w:jc w:val="left"/>
            </w:pPr>
            <w:r>
              <w:rPr>
                <w:rFonts w:ascii="Arial" w:hAnsi="Arial"/>
                <w:color w:val="000000"/>
                <w:sz w:val="18"/>
              </w:rPr>
              <w:t>Valores válidos de la variable objetivo</w:t>
            </w:r>
          </w:p>
        </w:tc>
        <w:tc>
          <w:tcPr>
            <w:tcW w:type="dxa" w:w="3671"/>
            <w:vAlign w:val="center"/>
          </w:tcPr>
          <w:p>
            <w:pPr>
              <w:spacing w:after="0"/>
              <w:jc w:val="center"/>
            </w:pPr>
            <w:r>
              <w:rPr>
                <w:rFonts w:ascii="Arial" w:hAnsi="Arial"/>
                <w:color w:val="000000"/>
                <w:sz w:val="18"/>
              </w:rPr>
              <w:t>148</w:t>
            </w:r>
          </w:p>
        </w:tc>
      </w:tr>
    </w:tbl>
    <w:p>
      <w:pPr>
        <w:spacing w:after="40"/>
      </w:pPr>
    </w:p>
    <w:p>
      <w:pPr>
        <w:keepNext w:val="0"/>
        <w:spacing w:after="160"/>
        <w:jc w:val="center"/>
      </w:pPr>
      <w:r>
        <w:rPr>
          <w:rFonts w:ascii="Times New Roman" w:hAnsi="Times New Roman"/>
          <w:i/>
          <w:color w:val="444444"/>
          <w:sz w:val="20"/>
        </w:rPr>
        <w:t>Tabla 4.7. Cobertura y calidad del conjunto de datos del piloto.</w:t>
      </w:r>
    </w:p>
    <w:p>
      <w:pPr>
        <w:spacing w:after="120" w:line="276" w:lineRule="auto"/>
        <w:jc w:val="both"/>
      </w:pPr>
      <w:r>
        <w:rPr>
          <w:rFonts w:ascii="Times New Roman" w:hAnsi="Times New Roman"/>
          <w:color w:val="000000"/>
          <w:sz w:val="24"/>
        </w:rP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presentan ausencia de ET0 y de las magnitudes derivadas; se mantienen para trazabilidad, pero deberán excluirse o tratarse dentro de cada partición de entrenamiento.</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508507"/>
            <wp:docPr id="2" name="Picture 2"/>
            <wp:cNvGraphicFramePr>
              <a:graphicFrameLocks noChangeAspect="1"/>
            </wp:cNvGraphicFramePr>
            <a:graphic>
              <a:graphicData uri="http://schemas.openxmlformats.org/drawingml/2006/picture">
                <pic:pic>
                  <pic:nvPicPr>
                    <pic:cNvPr id="0" name="image.png"/>
                    <pic:cNvPicPr/>
                  </pic:nvPicPr>
                  <pic:blipFill>
                    <a:blip ns1:embed="rId8"/>
                    <a:stretch>
                      <a:fillRect/>
                    </a:stretch>
                  </pic:blipFill>
                  <pic:spPr>
                    <a:xfrm>
                      <a:off x="0" y="0"/>
                      <a:ext cx="5532120" cy="3508507"/>
                    </a:xfrm>
                    <a:prstGeom prst="rect"/>
                  </pic:spPr>
                </pic:pic>
              </a:graphicData>
            </a:graphic>
          </wp:inline>
        </w:drawing>
      </w:r>
    </w:p>
    <w:p>
      <w:pPr>
        <w:keepNext w:val="0"/>
        <w:spacing w:after="160"/>
        <w:jc w:val="center"/>
      </w:pPr>
      <w:r>
        <w:rPr>
          <w:rFonts w:ascii="Times New Roman" w:hAnsi="Times New Roman"/>
          <w:i/>
          <w:color w:val="444444"/>
          <w:sz w:val="20"/>
        </w:rPr>
        <w:t>Figura 4.2. Valores ausentes y continuidad del calendario en la tabla analítica del piloto. Fuente: elaboración propia a partir de SiAR.</w:t>
      </w:r>
    </w:p>
    <w:p>
      <w:pPr>
        <w:spacing w:after="120" w:line="276" w:lineRule="auto"/>
        <w:jc w:val="both"/>
      </w:pPr>
      <w:r>
        <w:rPr>
          <w:rFonts w:ascii="Times New Roman" w:hAnsi="Times New Roman"/>
          <w:color w:val="000000"/>
          <w:sz w:val="24"/>
        </w:rP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pPr>
        <w:keepNext/>
        <w:spacing w:before="200" w:after="80"/>
      </w:pPr>
      <w:r>
        <w:rPr>
          <w:rFonts w:ascii="Times New Roman" w:hAnsi="Times New Roman"/>
          <w:b/>
          <w:color w:val="000000"/>
          <w:sz w:val="24"/>
        </w:rPr>
        <w:t>4.2.2. Análisis descriptivo y temporal</w:t>
      </w:r>
    </w:p>
    <w:p>
      <w:pPr>
        <w:spacing w:after="120" w:line="276" w:lineRule="auto"/>
        <w:jc w:val="both"/>
      </w:pPr>
      <w:r>
        <w:rPr>
          <w:rFonts w:ascii="Times New Roman" w:hAnsi="Times New Roman"/>
          <w:color w:val="000000"/>
          <w:sz w:val="24"/>
        </w:rP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tbl>
      <w:tblPr>
        <w:tblW w:type="auto" w:w="0"/>
        <w:jc w:val="center"/>
        <w:tblLayout w:type="fixed"/>
        <w:tblLook w:firstColumn="1" w:firstRow="1" w:lastColumn="0" w:lastRow="0" w:noHBand="0" w:noVBand="1" w:val="04A0"/>
      </w:tblPr>
      <w:tblGrid>
        <w:gridCol w:w="1416"/>
        <w:gridCol w:w="1416"/>
        <w:gridCol w:w="1416"/>
        <w:gridCol w:w="1416"/>
        <w:gridCol w:w="1416"/>
        <w:gridCol w:w="1416"/>
      </w:tblGrid>
      <w:tr>
        <w:trPr>
          <w:tblHeader w:val="true"/>
        </w:trPr>
        <w:tc>
          <w:tcPr>
            <w:tcW w:type="dxa" w:w="3096"/>
            <w:vAlign w:val="center"/>
            <w:shd w:fill="1F4E79"/>
          </w:tcPr>
          <w:p>
            <w:pPr>
              <w:spacing w:after="0"/>
              <w:jc w:val="center"/>
            </w:pPr>
            <w:r>
              <w:rPr>
                <w:rFonts w:ascii="Arial" w:hAnsi="Arial"/>
                <w:b/>
                <w:color w:val="FFFFFF"/>
                <w:sz w:val="18"/>
              </w:rPr>
              <w:t>Variable</w:t>
            </w:r>
          </w:p>
        </w:tc>
        <w:tc>
          <w:tcPr>
            <w:tcW w:type="dxa" w:w="1007"/>
            <w:vAlign w:val="center"/>
            <w:shd w:fill="1F4E79"/>
          </w:tcPr>
          <w:p>
            <w:pPr>
              <w:spacing w:after="0"/>
              <w:jc w:val="center"/>
            </w:pPr>
            <w:r>
              <w:rPr>
                <w:rFonts w:ascii="Arial" w:hAnsi="Arial"/>
                <w:b/>
                <w:color w:val="FFFFFF"/>
                <w:sz w:val="18"/>
              </w:rPr>
              <w:t>N válido</w:t>
            </w:r>
          </w:p>
        </w:tc>
        <w:tc>
          <w:tcPr>
            <w:tcW w:type="dxa" w:w="1080"/>
            <w:vAlign w:val="center"/>
            <w:shd w:fill="1F4E79"/>
          </w:tcPr>
          <w:p>
            <w:pPr>
              <w:spacing w:after="0"/>
              <w:jc w:val="center"/>
            </w:pPr>
            <w:r>
              <w:rPr>
                <w:rFonts w:ascii="Arial" w:hAnsi="Arial"/>
                <w:b/>
                <w:color w:val="FFFFFF"/>
                <w:sz w:val="18"/>
              </w:rPr>
              <w:t>Media</w:t>
            </w:r>
          </w:p>
        </w:tc>
        <w:tc>
          <w:tcPr>
            <w:tcW w:type="dxa" w:w="1152"/>
            <w:vAlign w:val="center"/>
            <w:shd w:fill="1F4E79"/>
          </w:tcPr>
          <w:p>
            <w:pPr>
              <w:spacing w:after="0"/>
              <w:jc w:val="center"/>
            </w:pPr>
            <w:r>
              <w:rPr>
                <w:rFonts w:ascii="Arial" w:hAnsi="Arial"/>
                <w:b/>
                <w:color w:val="FFFFFF"/>
                <w:sz w:val="18"/>
              </w:rPr>
              <w:t>Mediana</w:t>
            </w:r>
          </w:p>
        </w:tc>
        <w:tc>
          <w:tcPr>
            <w:tcW w:type="dxa" w:w="1080"/>
            <w:vAlign w:val="center"/>
            <w:shd w:fill="1F4E79"/>
          </w:tcPr>
          <w:p>
            <w:pPr>
              <w:spacing w:after="0"/>
              <w:jc w:val="center"/>
            </w:pPr>
            <w:r>
              <w:rPr>
                <w:rFonts w:ascii="Arial" w:hAnsi="Arial"/>
                <w:b/>
                <w:color w:val="FFFFFF"/>
                <w:sz w:val="18"/>
              </w:rPr>
              <w:t>Mínimo</w:t>
            </w:r>
          </w:p>
        </w:tc>
        <w:tc>
          <w:tcPr>
            <w:tcW w:type="dxa" w:w="1080"/>
            <w:vAlign w:val="center"/>
            <w:shd w:fill="1F4E79"/>
          </w:tcPr>
          <w:p>
            <w:pPr>
              <w:spacing w:after="0"/>
              <w:jc w:val="center"/>
            </w:pPr>
            <w:r>
              <w:rPr>
                <w:rFonts w:ascii="Arial" w:hAnsi="Arial"/>
                <w:b/>
                <w:color w:val="FFFFFF"/>
                <w:sz w:val="18"/>
              </w:rPr>
              <w:t>Máximo</w:t>
            </w:r>
          </w:p>
        </w:tc>
      </w:tr>
      <w:tr>
        <w:trPr>
          <w:cantSplit/>
        </w:trPr>
        <w:tc>
          <w:tcPr>
            <w:tcW w:type="dxa" w:w="3096"/>
            <w:vAlign w:val="center"/>
          </w:tcPr>
          <w:p>
            <w:pPr>
              <w:spacing w:after="0"/>
              <w:jc w:val="left"/>
            </w:pPr>
            <w:r>
              <w:rPr>
                <w:rFonts w:ascii="Arial" w:hAnsi="Arial"/>
                <w:color w:val="000000"/>
                <w:sz w:val="18"/>
              </w:rPr>
              <w:t>Temperatura media (°C)</w:t>
            </w:r>
          </w:p>
        </w:tc>
        <w:tc>
          <w:tcPr>
            <w:tcW w:type="dxa" w:w="1007"/>
            <w:vAlign w:val="center"/>
          </w:tcPr>
          <w:p>
            <w:pPr>
              <w:spacing w:after="0"/>
              <w:jc w:val="center"/>
            </w:pPr>
            <w:r>
              <w:rPr>
                <w:rFonts w:ascii="Arial" w:hAnsi="Arial"/>
                <w:color w:val="000000"/>
                <w:sz w:val="18"/>
              </w:rPr>
              <w:t>149</w:t>
            </w:r>
          </w:p>
        </w:tc>
        <w:tc>
          <w:tcPr>
            <w:tcW w:type="dxa" w:w="1080"/>
            <w:vAlign w:val="center"/>
          </w:tcPr>
          <w:p>
            <w:pPr>
              <w:spacing w:after="0"/>
              <w:jc w:val="center"/>
            </w:pPr>
            <w:r>
              <w:rPr>
                <w:rFonts w:ascii="Arial" w:hAnsi="Arial"/>
                <w:color w:val="000000"/>
                <w:sz w:val="18"/>
              </w:rPr>
              <w:t>24,57</w:t>
            </w:r>
          </w:p>
        </w:tc>
        <w:tc>
          <w:tcPr>
            <w:tcW w:type="dxa" w:w="1152"/>
            <w:vAlign w:val="center"/>
          </w:tcPr>
          <w:p>
            <w:pPr>
              <w:spacing w:after="0"/>
              <w:jc w:val="center"/>
            </w:pPr>
            <w:r>
              <w:rPr>
                <w:rFonts w:ascii="Arial" w:hAnsi="Arial"/>
                <w:color w:val="000000"/>
                <w:sz w:val="18"/>
              </w:rPr>
              <w:t>25,35</w:t>
            </w:r>
          </w:p>
        </w:tc>
        <w:tc>
          <w:tcPr>
            <w:tcW w:type="dxa" w:w="1080"/>
            <w:vAlign w:val="center"/>
          </w:tcPr>
          <w:p>
            <w:pPr>
              <w:spacing w:after="0"/>
              <w:jc w:val="center"/>
            </w:pPr>
            <w:r>
              <w:rPr>
                <w:rFonts w:ascii="Arial" w:hAnsi="Arial"/>
                <w:color w:val="000000"/>
                <w:sz w:val="18"/>
              </w:rPr>
              <w:t>17,23</w:t>
            </w:r>
          </w:p>
        </w:tc>
        <w:tc>
          <w:tcPr>
            <w:tcW w:type="dxa" w:w="1080"/>
            <w:vAlign w:val="center"/>
          </w:tcPr>
          <w:p>
            <w:pPr>
              <w:spacing w:after="0"/>
              <w:jc w:val="center"/>
            </w:pPr>
            <w:r>
              <w:rPr>
                <w:rFonts w:ascii="Arial" w:hAnsi="Arial"/>
                <w:color w:val="000000"/>
                <w:sz w:val="18"/>
              </w:rPr>
              <w:t>31,87</w:t>
            </w:r>
          </w:p>
        </w:tc>
      </w:tr>
      <w:tr>
        <w:trPr>
          <w:cantSplit/>
        </w:trPr>
        <w:tc>
          <w:tcPr>
            <w:tcW w:type="dxa" w:w="3096"/>
            <w:vAlign w:val="center"/>
            <w:shd w:fill="EAF1F8"/>
          </w:tcPr>
          <w:p>
            <w:pPr>
              <w:spacing w:after="0"/>
              <w:jc w:val="left"/>
            </w:pPr>
            <w:r>
              <w:rPr>
                <w:rFonts w:ascii="Arial" w:hAnsi="Arial"/>
                <w:color w:val="000000"/>
                <w:sz w:val="18"/>
              </w:rPr>
              <w:t>Humedad media (%)</w:t>
            </w:r>
          </w:p>
        </w:tc>
        <w:tc>
          <w:tcPr>
            <w:tcW w:type="dxa" w:w="1007"/>
            <w:vAlign w:val="center"/>
            <w:shd w:fill="EAF1F8"/>
          </w:tcPr>
          <w:p>
            <w:pPr>
              <w:spacing w:after="0"/>
              <w:jc w:val="center"/>
            </w:pPr>
            <w:r>
              <w:rPr>
                <w:rFonts w:ascii="Arial" w:hAnsi="Arial"/>
                <w:color w:val="000000"/>
                <w:sz w:val="18"/>
              </w:rPr>
              <w:t>149</w:t>
            </w:r>
          </w:p>
        </w:tc>
        <w:tc>
          <w:tcPr>
            <w:tcW w:type="dxa" w:w="1080"/>
            <w:vAlign w:val="center"/>
            <w:shd w:fill="EAF1F8"/>
          </w:tcPr>
          <w:p>
            <w:pPr>
              <w:spacing w:after="0"/>
              <w:jc w:val="center"/>
            </w:pPr>
            <w:r>
              <w:rPr>
                <w:rFonts w:ascii="Arial" w:hAnsi="Arial"/>
                <w:color w:val="000000"/>
                <w:sz w:val="18"/>
              </w:rPr>
              <w:t>59,07</w:t>
            </w:r>
          </w:p>
        </w:tc>
        <w:tc>
          <w:tcPr>
            <w:tcW w:type="dxa" w:w="1152"/>
            <w:vAlign w:val="center"/>
            <w:shd w:fill="EAF1F8"/>
          </w:tcPr>
          <w:p>
            <w:pPr>
              <w:spacing w:after="0"/>
              <w:jc w:val="center"/>
            </w:pPr>
            <w:r>
              <w:rPr>
                <w:rFonts w:ascii="Arial" w:hAnsi="Arial"/>
                <w:color w:val="000000"/>
                <w:sz w:val="18"/>
              </w:rPr>
              <w:t>60,59</w:t>
            </w:r>
          </w:p>
        </w:tc>
        <w:tc>
          <w:tcPr>
            <w:tcW w:type="dxa" w:w="1080"/>
            <w:vAlign w:val="center"/>
            <w:shd w:fill="EAF1F8"/>
          </w:tcPr>
          <w:p>
            <w:pPr>
              <w:spacing w:after="0"/>
              <w:jc w:val="center"/>
            </w:pPr>
            <w:r>
              <w:rPr>
                <w:rFonts w:ascii="Arial" w:hAnsi="Arial"/>
                <w:color w:val="000000"/>
                <w:sz w:val="18"/>
              </w:rPr>
              <w:t>29,51</w:t>
            </w:r>
          </w:p>
        </w:tc>
        <w:tc>
          <w:tcPr>
            <w:tcW w:type="dxa" w:w="1080"/>
            <w:vAlign w:val="center"/>
            <w:shd w:fill="EAF1F8"/>
          </w:tcPr>
          <w:p>
            <w:pPr>
              <w:spacing w:after="0"/>
              <w:jc w:val="center"/>
            </w:pPr>
            <w:r>
              <w:rPr>
                <w:rFonts w:ascii="Arial" w:hAnsi="Arial"/>
                <w:color w:val="000000"/>
                <w:sz w:val="18"/>
              </w:rPr>
              <w:t>83,50</w:t>
            </w:r>
          </w:p>
        </w:tc>
      </w:tr>
      <w:tr>
        <w:trPr>
          <w:cantSplit/>
        </w:trPr>
        <w:tc>
          <w:tcPr>
            <w:tcW w:type="dxa" w:w="3096"/>
            <w:vAlign w:val="center"/>
          </w:tcPr>
          <w:p>
            <w:pPr>
              <w:spacing w:after="0"/>
              <w:jc w:val="left"/>
            </w:pPr>
            <w:r>
              <w:rPr>
                <w:rFonts w:ascii="Arial" w:hAnsi="Arial"/>
                <w:color w:val="000000"/>
                <w:sz w:val="18"/>
              </w:rPr>
              <w:t>ET0 (mm/día)</w:t>
            </w:r>
          </w:p>
        </w:tc>
        <w:tc>
          <w:tcPr>
            <w:tcW w:type="dxa" w:w="1007"/>
            <w:vAlign w:val="center"/>
          </w:tcPr>
          <w:p>
            <w:pPr>
              <w:spacing w:after="0"/>
              <w:jc w:val="center"/>
            </w:pPr>
            <w:r>
              <w:rPr>
                <w:rFonts w:ascii="Arial" w:hAnsi="Arial"/>
                <w:color w:val="000000"/>
                <w:sz w:val="18"/>
              </w:rPr>
              <w:t>148</w:t>
            </w:r>
          </w:p>
        </w:tc>
        <w:tc>
          <w:tcPr>
            <w:tcW w:type="dxa" w:w="1080"/>
            <w:vAlign w:val="center"/>
          </w:tcPr>
          <w:p>
            <w:pPr>
              <w:spacing w:after="0"/>
              <w:jc w:val="center"/>
            </w:pPr>
            <w:r>
              <w:rPr>
                <w:rFonts w:ascii="Arial" w:hAnsi="Arial"/>
                <w:color w:val="000000"/>
                <w:sz w:val="18"/>
              </w:rPr>
              <w:t>5,15</w:t>
            </w:r>
          </w:p>
        </w:tc>
        <w:tc>
          <w:tcPr>
            <w:tcW w:type="dxa" w:w="1152"/>
            <w:vAlign w:val="center"/>
          </w:tcPr>
          <w:p>
            <w:pPr>
              <w:spacing w:after="0"/>
              <w:jc w:val="center"/>
            </w:pPr>
            <w:r>
              <w:rPr>
                <w:rFonts w:ascii="Arial" w:hAnsi="Arial"/>
                <w:color w:val="000000"/>
                <w:sz w:val="18"/>
              </w:rPr>
              <w:t>5,16</w:t>
            </w:r>
          </w:p>
        </w:tc>
        <w:tc>
          <w:tcPr>
            <w:tcW w:type="dxa" w:w="1080"/>
            <w:vAlign w:val="center"/>
          </w:tcPr>
          <w:p>
            <w:pPr>
              <w:spacing w:after="0"/>
              <w:jc w:val="center"/>
            </w:pPr>
            <w:r>
              <w:rPr>
                <w:rFonts w:ascii="Arial" w:hAnsi="Arial"/>
                <w:color w:val="000000"/>
                <w:sz w:val="18"/>
              </w:rPr>
              <w:t>2,20</w:t>
            </w:r>
          </w:p>
        </w:tc>
        <w:tc>
          <w:tcPr>
            <w:tcW w:type="dxa" w:w="1080"/>
            <w:vAlign w:val="center"/>
          </w:tcPr>
          <w:p>
            <w:pPr>
              <w:spacing w:after="0"/>
              <w:jc w:val="center"/>
            </w:pPr>
            <w:r>
              <w:rPr>
                <w:rFonts w:ascii="Arial" w:hAnsi="Arial"/>
                <w:color w:val="000000"/>
                <w:sz w:val="18"/>
              </w:rPr>
              <w:t>7,86</w:t>
            </w:r>
          </w:p>
        </w:tc>
      </w:tr>
      <w:tr>
        <w:trPr>
          <w:cantSplit/>
        </w:trPr>
        <w:tc>
          <w:tcPr>
            <w:tcW w:type="dxa" w:w="3096"/>
            <w:vAlign w:val="center"/>
            <w:shd w:fill="EAF1F8"/>
          </w:tcPr>
          <w:p>
            <w:pPr>
              <w:spacing w:after="0"/>
              <w:jc w:val="left"/>
            </w:pPr>
            <w:r>
              <w:rPr>
                <w:rFonts w:ascii="Arial" w:hAnsi="Arial"/>
                <w:color w:val="000000"/>
                <w:sz w:val="18"/>
              </w:rPr>
              <w:t>Coeficiente de cultivo Kc</w:t>
            </w:r>
          </w:p>
        </w:tc>
        <w:tc>
          <w:tcPr>
            <w:tcW w:type="dxa" w:w="1007"/>
            <w:vAlign w:val="center"/>
            <w:shd w:fill="EAF1F8"/>
          </w:tcPr>
          <w:p>
            <w:pPr>
              <w:spacing w:after="0"/>
              <w:jc w:val="center"/>
            </w:pPr>
            <w:r>
              <w:rPr>
                <w:rFonts w:ascii="Arial" w:hAnsi="Arial"/>
                <w:color w:val="000000"/>
                <w:sz w:val="18"/>
              </w:rPr>
              <w:t>150</w:t>
            </w:r>
          </w:p>
        </w:tc>
        <w:tc>
          <w:tcPr>
            <w:tcW w:type="dxa" w:w="1080"/>
            <w:vAlign w:val="center"/>
            <w:shd w:fill="EAF1F8"/>
          </w:tcPr>
          <w:p>
            <w:pPr>
              <w:spacing w:after="0"/>
              <w:jc w:val="center"/>
            </w:pPr>
            <w:r>
              <w:rPr>
                <w:rFonts w:ascii="Arial" w:hAnsi="Arial"/>
                <w:color w:val="000000"/>
                <w:sz w:val="18"/>
              </w:rPr>
              <w:t>0,68</w:t>
            </w:r>
          </w:p>
        </w:tc>
        <w:tc>
          <w:tcPr>
            <w:tcW w:type="dxa" w:w="1152"/>
            <w:vAlign w:val="center"/>
            <w:shd w:fill="EAF1F8"/>
          </w:tcPr>
          <w:p>
            <w:pPr>
              <w:spacing w:after="0"/>
              <w:jc w:val="center"/>
            </w:pPr>
            <w:r>
              <w:rPr>
                <w:rFonts w:ascii="Arial" w:hAnsi="Arial"/>
                <w:color w:val="000000"/>
                <w:sz w:val="18"/>
              </w:rPr>
              <w:t>0,70</w:t>
            </w:r>
          </w:p>
        </w:tc>
        <w:tc>
          <w:tcPr>
            <w:tcW w:type="dxa" w:w="1080"/>
            <w:vAlign w:val="center"/>
            <w:shd w:fill="EAF1F8"/>
          </w:tcPr>
          <w:p>
            <w:pPr>
              <w:spacing w:after="0"/>
              <w:jc w:val="center"/>
            </w:pPr>
            <w:r>
              <w:rPr>
                <w:rFonts w:ascii="Arial" w:hAnsi="Arial"/>
                <w:color w:val="000000"/>
                <w:sz w:val="18"/>
              </w:rPr>
              <w:t>0,30</w:t>
            </w:r>
          </w:p>
        </w:tc>
        <w:tc>
          <w:tcPr>
            <w:tcW w:type="dxa" w:w="1080"/>
            <w:vAlign w:val="center"/>
            <w:shd w:fill="EAF1F8"/>
          </w:tcPr>
          <w:p>
            <w:pPr>
              <w:spacing w:after="0"/>
              <w:jc w:val="center"/>
            </w:pPr>
            <w:r>
              <w:rPr>
                <w:rFonts w:ascii="Arial" w:hAnsi="Arial"/>
                <w:color w:val="000000"/>
                <w:sz w:val="18"/>
              </w:rPr>
              <w:t>1,00</w:t>
            </w:r>
          </w:p>
        </w:tc>
      </w:tr>
      <w:tr>
        <w:trPr>
          <w:cantSplit/>
        </w:trPr>
        <w:tc>
          <w:tcPr>
            <w:tcW w:type="dxa" w:w="3096"/>
            <w:vAlign w:val="center"/>
          </w:tcPr>
          <w:p>
            <w:pPr>
              <w:spacing w:after="0"/>
              <w:jc w:val="left"/>
            </w:pPr>
            <w:r>
              <w:rPr>
                <w:rFonts w:ascii="Arial" w:hAnsi="Arial"/>
                <w:color w:val="000000"/>
                <w:sz w:val="18"/>
              </w:rPr>
              <w:t>Necesidad neta (mm/día)</w:t>
            </w:r>
          </w:p>
        </w:tc>
        <w:tc>
          <w:tcPr>
            <w:tcW w:type="dxa" w:w="1007"/>
            <w:vAlign w:val="center"/>
          </w:tcPr>
          <w:p>
            <w:pPr>
              <w:spacing w:after="0"/>
              <w:jc w:val="center"/>
            </w:pPr>
            <w:r>
              <w:rPr>
                <w:rFonts w:ascii="Arial" w:hAnsi="Arial"/>
                <w:color w:val="000000"/>
                <w:sz w:val="18"/>
              </w:rPr>
              <w:t>148</w:t>
            </w:r>
          </w:p>
        </w:tc>
        <w:tc>
          <w:tcPr>
            <w:tcW w:type="dxa" w:w="1080"/>
            <w:vAlign w:val="center"/>
          </w:tcPr>
          <w:p>
            <w:pPr>
              <w:spacing w:after="0"/>
              <w:jc w:val="center"/>
            </w:pPr>
            <w:r>
              <w:rPr>
                <w:rFonts w:ascii="Arial" w:hAnsi="Arial"/>
                <w:color w:val="000000"/>
                <w:sz w:val="18"/>
              </w:rPr>
              <w:t>3,59</w:t>
            </w:r>
          </w:p>
        </w:tc>
        <w:tc>
          <w:tcPr>
            <w:tcW w:type="dxa" w:w="1152"/>
            <w:vAlign w:val="center"/>
          </w:tcPr>
          <w:p>
            <w:pPr>
              <w:spacing w:after="0"/>
              <w:jc w:val="center"/>
            </w:pPr>
            <w:r>
              <w:rPr>
                <w:rFonts w:ascii="Arial" w:hAnsi="Arial"/>
                <w:color w:val="000000"/>
                <w:sz w:val="18"/>
              </w:rPr>
              <w:t>3,94</w:t>
            </w:r>
          </w:p>
        </w:tc>
        <w:tc>
          <w:tcPr>
            <w:tcW w:type="dxa" w:w="1080"/>
            <w:vAlign w:val="center"/>
          </w:tcPr>
          <w:p>
            <w:pPr>
              <w:spacing w:after="0"/>
              <w:jc w:val="center"/>
            </w:pPr>
            <w:r>
              <w:rPr>
                <w:rFonts w:ascii="Arial" w:hAnsi="Arial"/>
                <w:color w:val="000000"/>
                <w:sz w:val="18"/>
              </w:rPr>
              <w:t>0,00</w:t>
            </w:r>
          </w:p>
        </w:tc>
        <w:tc>
          <w:tcPr>
            <w:tcW w:type="dxa" w:w="1080"/>
            <w:vAlign w:val="center"/>
          </w:tcPr>
          <w:p>
            <w:pPr>
              <w:spacing w:after="0"/>
              <w:jc w:val="center"/>
            </w:pPr>
            <w:r>
              <w:rPr>
                <w:rFonts w:ascii="Arial" w:hAnsi="Arial"/>
                <w:color w:val="000000"/>
                <w:sz w:val="18"/>
              </w:rPr>
              <w:t>7,07</w:t>
            </w:r>
          </w:p>
        </w:tc>
      </w:tr>
    </w:tbl>
    <w:p>
      <w:pPr>
        <w:spacing w:after="40"/>
      </w:pPr>
    </w:p>
    <w:p>
      <w:pPr>
        <w:keepNext w:val="0"/>
        <w:spacing w:after="160"/>
        <w:jc w:val="center"/>
      </w:pPr>
      <w:r>
        <w:rPr>
          <w:rFonts w:ascii="Times New Roman" w:hAnsi="Times New Roman"/>
          <w:i/>
          <w:color w:val="444444"/>
          <w:sz w:val="20"/>
        </w:rPr>
        <w:t>Tabla 4.8. Estadísticos descriptivos de las variables principales.</w:t>
      </w:r>
    </w:p>
    <w:p>
      <w:pPr>
        <w:spacing w:after="120" w:line="276" w:lineRule="auto"/>
        <w:jc w:val="both"/>
      </w:pPr>
      <w:r>
        <w:rPr>
          <w:rFonts w:ascii="Times New Roman" w:hAnsi="Times New Roman"/>
          <w:color w:val="000000"/>
          <w:sz w:val="24"/>
        </w:rP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453815"/>
            <wp:docPr id="3" name="Picture 3"/>
            <wp:cNvGraphicFramePr>
              <a:graphicFrameLocks noChangeAspect="1"/>
            </wp:cNvGraphicFramePr>
            <a:graphic>
              <a:graphicData uri="http://schemas.openxmlformats.org/drawingml/2006/picture">
                <pic:pic>
                  <pic:nvPicPr>
                    <pic:cNvPr id="0" name="image.png"/>
                    <pic:cNvPicPr/>
                  </pic:nvPicPr>
                  <pic:blipFill>
                    <a:blip ns1:embed="rId9"/>
                    <a:stretch>
                      <a:fillRect/>
                    </a:stretch>
                  </pic:blipFill>
                  <pic:spPr>
                    <a:xfrm>
                      <a:off x="0" y="0"/>
                      <a:ext cx="5532120" cy="3453815"/>
                    </a:xfrm>
                    <a:prstGeom prst="rect"/>
                  </pic:spPr>
                </pic:pic>
              </a:graphicData>
            </a:graphic>
          </wp:inline>
        </w:drawing>
      </w:r>
    </w:p>
    <w:p>
      <w:pPr>
        <w:keepNext w:val="0"/>
        <w:spacing w:after="160"/>
        <w:jc w:val="center"/>
      </w:pPr>
      <w:r>
        <w:rPr>
          <w:rFonts w:ascii="Times New Roman" w:hAnsi="Times New Roman"/>
          <w:i/>
          <w:color w:val="444444"/>
          <w:sz w:val="20"/>
        </w:rPr>
        <w:t>Figura 4.3. Evolución de ET0, ETc, necesidad neta, Kc y precipitación efectiva. Fuente: elaboración propia a partir de SiAR.</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3690957"/>
            <wp:docPr id="4" name="Picture 4"/>
            <wp:cNvGraphicFramePr>
              <a:graphicFrameLocks noChangeAspect="1"/>
            </wp:cNvGraphicFramePr>
            <a:graphic>
              <a:graphicData uri="http://schemas.openxmlformats.org/drawingml/2006/picture">
                <pic:pic>
                  <pic:nvPicPr>
                    <pic:cNvPr id="0" name="image.png"/>
                    <pic:cNvPicPr/>
                  </pic:nvPicPr>
                  <pic:blipFill>
                    <a:blip ns1:embed="rId10"/>
                    <a:stretch>
                      <a:fillRect/>
                    </a:stretch>
                  </pic:blipFill>
                  <pic:spPr>
                    <a:xfrm>
                      <a:off x="0" y="0"/>
                      <a:ext cx="5532120" cy="3690957"/>
                    </a:xfrm>
                    <a:prstGeom prst="rect"/>
                  </pic:spPr>
                </pic:pic>
              </a:graphicData>
            </a:graphic>
          </wp:inline>
        </w:drawing>
      </w:r>
    </w:p>
    <w:p>
      <w:pPr>
        <w:keepNext w:val="0"/>
        <w:spacing w:after="160"/>
        <w:jc w:val="center"/>
      </w:pPr>
      <w:r>
        <w:rPr>
          <w:rFonts w:ascii="Times New Roman" w:hAnsi="Times New Roman"/>
          <w:i/>
          <w:color w:val="444444"/>
          <w:sz w:val="20"/>
        </w:rPr>
        <w:t>Figura 4.4. Distribución de temperatura, humedad, ET0 y necesidad neta. Fuente: elaboración propia a partir de SiAR.</w:t>
      </w:r>
    </w:p>
    <w:p>
      <w:pPr>
        <w:keepNext/>
        <w:spacing w:before="200" w:after="80"/>
      </w:pPr>
      <w:r>
        <w:rPr>
          <w:rFonts w:ascii="Times New Roman" w:hAnsi="Times New Roman"/>
          <w:b/>
          <w:color w:val="000000"/>
          <w:sz w:val="24"/>
        </w:rPr>
        <w:t>4.2.3. Relaciones entre variables</w:t>
      </w:r>
    </w:p>
    <w:p>
      <w:pPr>
        <w:spacing w:after="120" w:line="276" w:lineRule="auto"/>
        <w:jc w:val="both"/>
      </w:pPr>
      <w:r>
        <w:rPr>
          <w:rFonts w:ascii="Times New Roman" w:hAnsi="Times New Roman"/>
          <w:color w:val="000000"/>
          <w:sz w:val="24"/>
        </w:rP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pPr>
        <w:keepLines/>
        <w:spacing w:after="60"/>
        <w:jc w:val="center"/>
      </w:pPr>
      <w:r>
        <w:drawing>
          <wp:inline xmlns:wp="http://schemas.openxmlformats.org/drawingml/2006/wordprocessingDrawing" xmlns:a="http://schemas.openxmlformats.org/drawingml/2006/main" xmlns:pic="http://schemas.openxmlformats.org/drawingml/2006/picture">
            <wp:extent cx="5532120" cy="4766930"/>
            <wp:docPr id="5" name="Picture 5"/>
            <wp:cNvGraphicFramePr>
              <a:graphicFrameLocks noChangeAspect="1"/>
            </wp:cNvGraphicFramePr>
            <a:graphic>
              <a:graphicData uri="http://schemas.openxmlformats.org/drawingml/2006/picture">
                <pic:pic>
                  <pic:nvPicPr>
                    <pic:cNvPr id="0" name="image.png"/>
                    <pic:cNvPicPr/>
                  </pic:nvPicPr>
                  <pic:blipFill>
                    <a:blip ns1:embed="rId11"/>
                    <a:stretch>
                      <a:fillRect/>
                    </a:stretch>
                  </pic:blipFill>
                  <pic:spPr>
                    <a:xfrm>
                      <a:off x="0" y="0"/>
                      <a:ext cx="5532120" cy="4766930"/>
                    </a:xfrm>
                    <a:prstGeom prst="rect"/>
                  </pic:spPr>
                </pic:pic>
              </a:graphicData>
            </a:graphic>
          </wp:inline>
        </w:drawing>
      </w:r>
    </w:p>
    <w:p>
      <w:pPr>
        <w:keepNext w:val="0"/>
        <w:spacing w:after="160"/>
        <w:jc w:val="center"/>
      </w:pPr>
      <w:r>
        <w:rPr>
          <w:rFonts w:ascii="Times New Roman" w:hAnsi="Times New Roman"/>
          <w:i/>
          <w:color w:val="444444"/>
          <w:sz w:val="20"/>
        </w:rPr>
        <w:t>Figura 4.5. Matriz de correlaciones de Pearson para variables seleccionadas. Fuente: elaboración propia a partir de SiAR.</w:t>
      </w:r>
    </w:p>
    <w:p>
      <w:pPr>
        <w:spacing w:after="120" w:line="276" w:lineRule="auto"/>
        <w:jc w:val="both"/>
      </w:pPr>
      <w:r>
        <w:rPr>
          <w:rFonts w:ascii="Times New Roman" w:hAnsi="Times New Roman"/>
          <w:color w:val="000000"/>
          <w:sz w:val="24"/>
        </w:rP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pPr>
        <w:keepNext/>
        <w:spacing w:before="200" w:after="80"/>
      </w:pPr>
      <w:r>
        <w:rPr>
          <w:rFonts w:ascii="Times New Roman" w:hAnsi="Times New Roman"/>
          <w:b/>
          <w:color w:val="000000"/>
          <w:sz w:val="24"/>
        </w:rPr>
        <w:t>4.2.4. Preparación y generación de variables</w:t>
      </w:r>
    </w:p>
    <w:p>
      <w:pPr>
        <w:keepNext/>
        <w:spacing w:after="120" w:line="276" w:lineRule="auto"/>
        <w:jc w:val="both"/>
      </w:pPr>
      <w:r>
        <w:rPr>
          <w:rFonts w:ascii="Times New Roman" w:hAnsi="Times New Roman"/>
          <w:color w:val="000000"/>
          <w:sz w:val="24"/>
        </w:rPr>
        <w:t>La tabla final combina cuatro grupos de información:</w:t>
      </w:r>
    </w:p>
    <w:p>
      <w:pPr>
        <w:keepNext/>
        <w:spacing w:after="60" w:line="276" w:lineRule="auto"/>
        <w:jc w:val="both"/>
      </w:pPr>
      <w:r>
        <w:rPr>
          <w:rFonts w:ascii="Times New Roman" w:hAnsi="Times New Roman"/>
          <w:b/>
          <w:i w:val="0"/>
          <w:color w:val="000000"/>
          <w:sz w:val="24"/>
        </w:rPr>
        <w:t xml:space="preserve">1. Variables temporales. </w:t>
      </w:r>
      <w:r>
        <w:rPr>
          <w:rFonts w:ascii="Times New Roman" w:hAnsi="Times New Roman"/>
          <w:b w:val="0"/>
          <w:i w:val="0"/>
          <w:color w:val="000000"/>
          <w:sz w:val="24"/>
        </w:rPr>
        <w:t>Año, mes, semana ISO, día del año y codificación cíclica mediante seno y coseno. Esta última representa la estacionalidad sin introducir una ruptura artificial entre el final y el inicio del año.</w:t>
      </w:r>
    </w:p>
    <w:p>
      <w:pPr>
        <w:keepNext/>
        <w:spacing w:after="60" w:line="276" w:lineRule="auto"/>
        <w:jc w:val="both"/>
      </w:pPr>
      <w:r>
        <w:rPr>
          <w:rFonts w:ascii="Times New Roman" w:hAnsi="Times New Roman"/>
          <w:b/>
          <w:i w:val="0"/>
          <w:color w:val="000000"/>
          <w:sz w:val="24"/>
        </w:rPr>
        <w:t xml:space="preserve">2. Variables agrometeorológicas derivadas. </w:t>
      </w:r>
      <w:r>
        <w:rPr>
          <w:rFonts w:ascii="Times New Roman" w:hAnsi="Times New Roman"/>
          <w:b w:val="0"/>
          <w:i w:val="0"/>
          <w:color w:val="000000"/>
          <w:sz w:val="24"/>
        </w:rPr>
        <w:t>Amplitud térmica diaria, déficit de presión de vapor, ETc estimada como ET0 × Kc y necesidad neta diagnóstica como max(ETc − precipitación efectiva, 0).</w:t>
      </w:r>
    </w:p>
    <w:p>
      <w:pPr>
        <w:keepNext/>
        <w:spacing w:after="60" w:line="276" w:lineRule="auto"/>
        <w:jc w:val="both"/>
      </w:pPr>
      <w:r>
        <w:rPr>
          <w:rFonts w:ascii="Times New Roman" w:hAnsi="Times New Roman"/>
          <w:b/>
          <w:i w:val="0"/>
          <w:color w:val="000000"/>
          <w:sz w:val="24"/>
        </w:rPr>
        <w:t xml:space="preserve">3. Retardos. </w:t>
      </w:r>
      <w:r>
        <w:rPr>
          <w:rFonts w:ascii="Times New Roman" w:hAnsi="Times New Roman"/>
          <w:b w:val="0"/>
          <w:i w:val="0"/>
          <w:color w:val="000000"/>
          <w:sz w:val="24"/>
        </w:rPr>
        <w:t>Valores de 1, 3 y 7 días de ET0, precipitación, temperatura, humedad, radiación y necesidad neta.</w:t>
      </w:r>
    </w:p>
    <w:p>
      <w:pPr>
        <w:keepNext w:val="0"/>
        <w:spacing w:after="120" w:line="276" w:lineRule="auto"/>
        <w:jc w:val="both"/>
      </w:pPr>
      <w:r>
        <w:rPr>
          <w:rFonts w:ascii="Times New Roman" w:hAnsi="Times New Roman"/>
          <w:b/>
          <w:i w:val="0"/>
          <w:color w:val="000000"/>
          <w:sz w:val="24"/>
        </w:rPr>
        <w:t xml:space="preserve">4. Ventanas temporales. </w:t>
      </w:r>
      <w:r>
        <w:rPr>
          <w:rFonts w:ascii="Times New Roman" w:hAnsi="Times New Roman"/>
          <w:b w:val="0"/>
          <w:i w:val="0"/>
          <w:color w:val="000000"/>
          <w:sz w:val="24"/>
        </w:rPr>
        <w:t>Medias móviles de 3, 7 y 14 días para variables continuas, y sumas móviles para precipitación, precipitación efectiva y necesidad neta. Todas las ventanas se desplazan un día antes de calcularse, de modo que no utilizan el valor que se desea predecir.</w:t>
      </w:r>
    </w:p>
    <w:p>
      <w:pPr>
        <w:spacing w:after="120" w:line="276" w:lineRule="auto"/>
        <w:jc w:val="both"/>
      </w:pPr>
      <w:r>
        <w:rPr>
          <w:rFonts w:ascii="Times New Roman" w:hAnsi="Times New Roman"/>
          <w:color w:val="000000"/>
          <w:sz w:val="24"/>
        </w:rP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pPr>
        <w:keepNext/>
        <w:spacing w:before="200" w:after="80"/>
      </w:pPr>
      <w:r>
        <w:rPr>
          <w:rFonts w:ascii="Times New Roman" w:hAnsi="Times New Roman"/>
          <w:b/>
          <w:color w:val="000000"/>
          <w:sz w:val="24"/>
        </w:rPr>
        <w:t>4.2.5. Disponibilidad de variables y prevención de fuga de información</w:t>
      </w:r>
    </w:p>
    <w:p>
      <w:pPr>
        <w:spacing w:after="120" w:line="276" w:lineRule="auto"/>
        <w:jc w:val="both"/>
      </w:pPr>
      <w:r>
        <w:rPr>
          <w:rFonts w:ascii="Times New Roman" w:hAnsi="Times New Roman"/>
          <w:color w:val="000000"/>
          <w:sz w:val="24"/>
        </w:rPr>
        <w:t>Para que la evaluación sea realista se distingue entre información conocida de antemano, observaciones disponibles al cierre del día y variables que solo existen después de calcular el objetivo.</w:t>
      </w:r>
    </w:p>
    <w:tbl>
      <w:tblPr>
        <w:tblW w:type="auto" w:w="0"/>
        <w:jc w:val="center"/>
        <w:tblLayout w:type="fixed"/>
        <w:tblLook w:firstColumn="1" w:firstRow="1" w:lastColumn="0" w:lastRow="0" w:noHBand="0" w:noVBand="1" w:val="04A0"/>
      </w:tblPr>
      <w:tblGrid>
        <w:gridCol w:w="2928"/>
        <w:gridCol w:w="2928"/>
        <w:gridCol w:w="2928"/>
      </w:tblGrid>
      <w:tr>
        <w:trPr>
          <w:tblHeader w:val="true"/>
          <w:cantSplit/>
        </w:trPr>
        <w:tc>
          <w:tcPr>
            <w:tcW w:type="dxa" w:w="2232"/>
            <w:vAlign w:val="center"/>
            <w:shd w:fill="1F4E79"/>
            <w:tcMar>
              <w:top w:w="55" w:type="dxa"/>
              <w:start w:w="70" w:type="dxa"/>
              <w:bottom w:w="55" w:type="dxa"/>
              <w:end w:w="70" w:type="dxa"/>
            </w:tcMar>
          </w:tcPr>
          <w:p>
            <w:pPr>
              <w:spacing w:after="0" w:before="0" w:line="240" w:lineRule="auto"/>
              <w:jc w:val="center"/>
            </w:pPr>
            <w:r>
              <w:rPr>
                <w:rFonts w:ascii="Arial" w:hAnsi="Arial"/>
                <w:b/>
                <w:color w:val="000000"/>
                <w:sz w:val="17"/>
              </w:rPr>
              <w:t>Grupo</w:t>
            </w:r>
          </w:p>
        </w:tc>
        <w:tc>
          <w:tcPr>
            <w:tcW w:type="dxa" w:w="3311"/>
            <w:vAlign w:val="center"/>
            <w:shd w:fill="1F4E79"/>
            <w:tcMar>
              <w:top w:w="55" w:type="dxa"/>
              <w:start w:w="70" w:type="dxa"/>
              <w:bottom w:w="55" w:type="dxa"/>
              <w:end w:w="70" w:type="dxa"/>
            </w:tcMar>
          </w:tcPr>
          <w:p>
            <w:pPr>
              <w:spacing w:after="0" w:before="0" w:line="240" w:lineRule="auto"/>
              <w:jc w:val="center"/>
            </w:pPr>
            <w:r>
              <w:rPr>
                <w:rFonts w:ascii="Arial" w:hAnsi="Arial"/>
                <w:b/>
                <w:color w:val="000000"/>
                <w:sz w:val="17"/>
              </w:rPr>
              <w:t>Ejemplos</w:t>
            </w:r>
          </w:p>
        </w:tc>
        <w:tc>
          <w:tcPr>
            <w:tcW w:type="dxa" w:w="3240"/>
            <w:vAlign w:val="center"/>
            <w:shd w:fill="1F4E79"/>
            <w:tcMar>
              <w:top w:w="55" w:type="dxa"/>
              <w:start w:w="70" w:type="dxa"/>
              <w:bottom w:w="55" w:type="dxa"/>
              <w:end w:w="70" w:type="dxa"/>
            </w:tcMar>
          </w:tcPr>
          <w:p>
            <w:pPr>
              <w:spacing w:after="0" w:before="0" w:line="240" w:lineRule="auto"/>
              <w:jc w:val="center"/>
            </w:pPr>
            <w:r>
              <w:rPr>
                <w:rFonts w:ascii="Arial" w:hAnsi="Arial"/>
                <w:b/>
                <w:color w:val="000000"/>
                <w:sz w:val="17"/>
              </w:rPr>
              <w:t>Uso propuesto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Arial" w:hAnsi="Arial"/>
                <w:color w:val="000000"/>
                <w:sz w:val="17"/>
              </w:rPr>
              <w:t>Conocidas de antemano</w:t>
            </w:r>
          </w:p>
        </w:tc>
        <w:tc>
          <w:tcPr>
            <w:tcW w:type="dxa" w:w="3311"/>
            <w:vAlign w:val="center"/>
            <w:tcMar>
              <w:top w:w="55" w:type="dxa"/>
              <w:start w:w="70" w:type="dxa"/>
              <w:bottom w:w="55" w:type="dxa"/>
              <w:end w:w="70" w:type="dxa"/>
            </w:tcMar>
          </w:tcPr>
          <w:p>
            <w:pPr>
              <w:spacing w:after="0" w:before="0" w:line="240" w:lineRule="auto"/>
              <w:jc w:val="center"/>
            </w:pPr>
            <w:r>
              <w:rPr>
                <w:rFonts w:ascii="Arial" w:hAnsi="Arial"/>
                <w:color w:val="000000"/>
                <w:sz w:val="17"/>
              </w:rPr>
              <w:t>Cultivo, estación, fecha y Kc planificado</w:t>
            </w:r>
          </w:p>
        </w:tc>
        <w:tc>
          <w:tcPr>
            <w:tcW w:type="dxa" w:w="3240"/>
            <w:vAlign w:val="center"/>
            <w:tcMar>
              <w:top w:w="55" w:type="dxa"/>
              <w:start w:w="70" w:type="dxa"/>
              <w:bottom w:w="55" w:type="dxa"/>
              <w:end w:w="70" w:type="dxa"/>
            </w:tcMar>
          </w:tcPr>
          <w:p>
            <w:pPr>
              <w:spacing w:after="0" w:before="0" w:line="240" w:lineRule="auto"/>
              <w:jc w:val="center"/>
            </w:pPr>
            <w:r>
              <w:rPr>
                <w:rFonts w:ascii="Arial" w:hAnsi="Arial"/>
                <w:color w:val="000000"/>
                <w:sz w:val="17"/>
              </w:rPr>
              <w:t>Candidatas para predicción</w:t>
            </w:r>
          </w:p>
        </w:tc>
      </w:tr>
      <w:tr>
        <w:trPr>
          <w:cantSplit/>
        </w:trPr>
        <w:tc>
          <w:tcPr>
            <w:tcW w:type="dxa" w:w="2232"/>
            <w:vAlign w:val="center"/>
            <w:shd w:fill="EAF1F8"/>
            <w:tcMar>
              <w:top w:w="55" w:type="dxa"/>
              <w:start w:w="70" w:type="dxa"/>
              <w:bottom w:w="55" w:type="dxa"/>
              <w:end w:w="70" w:type="dxa"/>
            </w:tcMar>
          </w:tcPr>
          <w:p>
            <w:pPr>
              <w:spacing w:after="0" w:before="0" w:line="240" w:lineRule="auto"/>
              <w:jc w:val="left"/>
            </w:pPr>
            <w:r>
              <w:rPr>
                <w:rFonts w:ascii="Arial" w:hAnsi="Arial"/>
                <w:color w:val="000000"/>
                <w:sz w:val="17"/>
              </w:rPr>
              <w:t>Meteorología observada</w:t>
            </w:r>
          </w:p>
        </w:tc>
        <w:tc>
          <w:tcPr>
            <w:tcW w:type="dxa" w:w="3311"/>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Temperatura, humedad, viento, radiación y ET0</w:t>
            </w:r>
          </w:p>
        </w:tc>
        <w:tc>
          <w:tcPr>
            <w:tcW w:type="dxa" w:w="3240"/>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Prototipo retrospectivo; para futuro exige pronóstico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Arial" w:hAnsi="Arial"/>
                <w:color w:val="000000"/>
                <w:sz w:val="17"/>
              </w:rPr>
              <w:t>Históricas desplazadas</w:t>
            </w:r>
          </w:p>
        </w:tc>
        <w:tc>
          <w:tcPr>
            <w:tcW w:type="dxa" w:w="3311"/>
            <w:vAlign w:val="center"/>
            <w:tcMar>
              <w:top w:w="55" w:type="dxa"/>
              <w:start w:w="70" w:type="dxa"/>
              <w:bottom w:w="55" w:type="dxa"/>
              <w:end w:w="70" w:type="dxa"/>
            </w:tcMar>
          </w:tcPr>
          <w:p>
            <w:pPr>
              <w:spacing w:after="0" w:before="0" w:line="240" w:lineRule="auto"/>
              <w:jc w:val="center"/>
            </w:pPr>
            <w:r>
              <w:rPr>
                <w:rFonts w:ascii="Arial" w:hAnsi="Arial"/>
                <w:color w:val="000000"/>
                <w:sz w:val="17"/>
              </w:rPr>
              <w:t>Retardos y ventanas hasta t−1</w:t>
            </w:r>
          </w:p>
        </w:tc>
        <w:tc>
          <w:tcPr>
            <w:tcW w:type="dxa" w:w="3240"/>
            <w:vAlign w:val="center"/>
            <w:tcMar>
              <w:top w:w="55" w:type="dxa"/>
              <w:start w:w="70" w:type="dxa"/>
              <w:bottom w:w="55" w:type="dxa"/>
              <w:end w:w="70" w:type="dxa"/>
            </w:tcMar>
          </w:tcPr>
          <w:p>
            <w:pPr>
              <w:spacing w:after="0" w:before="0" w:line="240" w:lineRule="auto"/>
              <w:jc w:val="center"/>
            </w:pPr>
            <w:r>
              <w:rPr>
                <w:rFonts w:ascii="Arial" w:hAnsi="Arial"/>
                <w:color w:val="000000"/>
                <w:sz w:val="17"/>
              </w:rPr>
              <w:t>Candidatas si están disponibles en producción</w:t>
            </w:r>
          </w:p>
        </w:tc>
      </w:tr>
      <w:tr>
        <w:trPr>
          <w:cantSplit/>
        </w:trPr>
        <w:tc>
          <w:tcPr>
            <w:tcW w:type="dxa" w:w="2232"/>
            <w:vAlign w:val="center"/>
            <w:shd w:fill="EAF1F8"/>
            <w:tcMar>
              <w:top w:w="55" w:type="dxa"/>
              <w:start w:w="70" w:type="dxa"/>
              <w:bottom w:w="55" w:type="dxa"/>
              <w:end w:w="70" w:type="dxa"/>
            </w:tcMar>
          </w:tcPr>
          <w:p>
            <w:pPr>
              <w:spacing w:after="0" w:before="0" w:line="240" w:lineRule="auto"/>
              <w:jc w:val="left"/>
            </w:pPr>
            <w:r>
              <w:rPr>
                <w:rFonts w:ascii="Arial" w:hAnsi="Arial"/>
                <w:color w:val="000000"/>
                <w:sz w:val="17"/>
              </w:rPr>
              <w:t>Derivadas contemporáneas</w:t>
            </w:r>
          </w:p>
        </w:tc>
        <w:tc>
          <w:tcPr>
            <w:tcW w:type="dxa" w:w="3311"/>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ETc, precipitación efectiva y necesidad reconstruida</w:t>
            </w:r>
          </w:p>
        </w:tc>
        <w:tc>
          <w:tcPr>
            <w:tcW w:type="dxa" w:w="3240"/>
            <w:vAlign w:val="center"/>
            <w:shd w:fill="EAF1F8"/>
            <w:tcMar>
              <w:top w:w="55" w:type="dxa"/>
              <w:start w:w="70" w:type="dxa"/>
              <w:bottom w:w="55" w:type="dxa"/>
              <w:end w:w="70" w:type="dxa"/>
            </w:tcMar>
          </w:tcPr>
          <w:p>
            <w:pPr>
              <w:spacing w:after="0" w:before="0" w:line="240" w:lineRule="auto"/>
              <w:jc w:val="center"/>
            </w:pPr>
            <w:r>
              <w:rPr>
                <w:rFonts w:ascii="Arial" w:hAnsi="Arial"/>
                <w:color w:val="000000"/>
                <w:sz w:val="17"/>
              </w:rPr>
              <w:t>Solo diagnóstico; excluir del entrenamiento</w:t>
            </w:r>
          </w:p>
        </w:tc>
      </w:tr>
      <w:tr>
        <w:trPr>
          <w:cantSplit/>
        </w:trPr>
        <w:tc>
          <w:tcPr>
            <w:tcW w:type="dxa" w:w="2232"/>
            <w:vAlign w:val="center"/>
            <w:tcMar>
              <w:top w:w="55" w:type="dxa"/>
              <w:start w:w="70" w:type="dxa"/>
              <w:bottom w:w="55" w:type="dxa"/>
              <w:end w:w="70" w:type="dxa"/>
            </w:tcMar>
          </w:tcPr>
          <w:p>
            <w:pPr>
              <w:spacing w:after="0" w:before="0" w:line="240" w:lineRule="auto"/>
              <w:jc w:val="left"/>
            </w:pPr>
            <w:r>
              <w:rPr>
                <w:rFonts w:ascii="Arial" w:hAnsi="Arial"/>
                <w:color w:val="000000"/>
                <w:sz w:val="17"/>
              </w:rPr>
              <w:t>Calidad y trazabilidad</w:t>
            </w:r>
          </w:p>
        </w:tc>
        <w:tc>
          <w:tcPr>
            <w:tcW w:type="dxa" w:w="3311"/>
            <w:vAlign w:val="center"/>
            <w:tcMar>
              <w:top w:w="55" w:type="dxa"/>
              <w:start w:w="70" w:type="dxa"/>
              <w:bottom w:w="55" w:type="dxa"/>
              <w:end w:w="70" w:type="dxa"/>
            </w:tcMar>
          </w:tcPr>
          <w:p>
            <w:pPr>
              <w:spacing w:after="0" w:before="0" w:line="240" w:lineRule="auto"/>
              <w:jc w:val="center"/>
            </w:pPr>
            <w:r>
              <w:rPr>
                <w:rFonts w:ascii="Arial" w:hAnsi="Arial"/>
                <w:color w:val="000000"/>
                <w:sz w:val="17"/>
              </w:rPr>
              <w:t>Estados, incidencias, fichero y fecha de ingesta</w:t>
            </w:r>
          </w:p>
        </w:tc>
        <w:tc>
          <w:tcPr>
            <w:tcW w:type="dxa" w:w="3240"/>
            <w:vAlign w:val="center"/>
            <w:tcMar>
              <w:top w:w="55" w:type="dxa"/>
              <w:start w:w="70" w:type="dxa"/>
              <w:bottom w:w="55" w:type="dxa"/>
              <w:end w:w="70" w:type="dxa"/>
            </w:tcMar>
          </w:tcPr>
          <w:p>
            <w:pPr>
              <w:spacing w:after="0" w:before="0" w:line="240" w:lineRule="auto"/>
              <w:jc w:val="center"/>
            </w:pPr>
            <w:r>
              <w:rPr>
                <w:rFonts w:ascii="Arial" w:hAnsi="Arial"/>
                <w:color w:val="000000"/>
                <w:sz w:val="17"/>
              </w:rPr>
              <w:t>Auditoría; no predictores</w:t>
            </w:r>
          </w:p>
        </w:tc>
      </w:tr>
    </w:tbl>
    <w:p>
      <w:pPr>
        <w:spacing w:after="40"/>
      </w:pPr>
    </w:p>
    <w:p>
      <w:pPr>
        <w:keepNext w:val="0"/>
        <w:spacing w:after="160"/>
        <w:jc w:val="center"/>
      </w:pPr>
      <w:r>
        <w:rPr>
          <w:rFonts w:ascii="Times New Roman" w:hAnsi="Times New Roman"/>
          <w:i/>
          <w:color w:val="444444"/>
          <w:sz w:val="20"/>
        </w:rPr>
        <w:t>Tabla 4.9. Clasificación de variables según su disponibilidad y función en el modelo.</w:t>
      </w:r>
    </w:p>
    <w:p>
      <w:pPr>
        <w:spacing w:after="120" w:line="276" w:lineRule="auto"/>
        <w:jc w:val="both"/>
      </w:pPr>
      <w:r>
        <w:rPr>
          <w:rFonts w:ascii="Times New Roman" w:hAnsi="Times New Roman"/>
          <w:color w:val="000000"/>
          <w:sz w:val="24"/>
        </w:rPr>
        <w:t>El catálogo docs/data_samples/feature_catalog_4_2.csv documenta las 88 columnas, su tipo, disponibilidad, porcentaje de ausencias, función y riesgo de fuga. Este control será la base para seleccionar las variables del apartado 4.3. También evita que un buen resultado aparente provenga de introducir en el modelo componentes que determinan algebraicamente la etiqueta.</w:t>
      </w:r>
    </w:p>
    <w:p>
      <w:pPr>
        <w:spacing w:after="120" w:line="276" w:lineRule="auto"/>
        <w:jc w:val="both"/>
      </w:pPr>
      <w:r>
        <w:rPr>
          <w:rFonts w:ascii="Times New Roman" w:hAnsi="Times New Roman"/>
          <w:color w:val="000000"/>
          <w:sz w:val="24"/>
        </w:rPr>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pPr>
        <w:keepNext/>
        <w:spacing w:before="200" w:after="80"/>
      </w:pPr>
      <w:r>
        <w:rPr>
          <w:rFonts w:ascii="Times New Roman" w:hAnsi="Times New Roman"/>
          <w:b/>
          <w:color w:val="000000"/>
          <w:sz w:val="24"/>
        </w:rPr>
        <w:t>4.2.6. Estrategia de preparación para el modelado</w:t>
      </w:r>
    </w:p>
    <w:p>
      <w:pPr>
        <w:spacing w:after="120" w:line="276" w:lineRule="auto"/>
        <w:jc w:val="both"/>
      </w:pPr>
      <w:r>
        <w:rPr>
          <w:rFonts w:ascii="Times New Roman" w:hAnsi="Times New Roman"/>
          <w:color w:val="000000"/>
          <w:sz w:val="24"/>
        </w:rPr>
        <w:t>La división de entrenamiento, validación y prueba debe respetar el orden temporal. Una partición aleatoria mezclaría días muy próximos de la misma campaña y produciría una estimación optimista del error. En este piloto se propone entrenar con el tramo inicial y evaluar con fechas posteriores; cuando se amplíe el histórico, deberán reservarse campañas completas y, posteriormente, estaciones completas para medir generalización temporal y espacial.</w:t>
      </w:r>
    </w:p>
    <w:p>
      <w:pPr>
        <w:spacing w:after="120" w:line="276" w:lineRule="auto"/>
        <w:jc w:val="both"/>
      </w:pPr>
      <w:r>
        <w:rPr>
          <w:rFonts w:ascii="Times New Roman" w:hAnsi="Times New Roman"/>
          <w:color w:val="000000"/>
          <w:sz w:val="24"/>
        </w:rP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pPr>
        <w:spacing w:after="120" w:line="276" w:lineRule="auto"/>
        <w:jc w:val="both"/>
      </w:pPr>
      <w:r>
        <w:rPr>
          <w:rFonts w:ascii="Times New Roman" w:hAnsi="Times New Roman"/>
          <w:color w:val="000000"/>
          <w:sz w:val="24"/>
        </w:rPr>
        <w:t>El conjunto actual es suficiente para verificar el flujo técnico, crear una línea base y detectar problemas de integración. No es suficiente para afirmar que el modelo se generaliza a otras campañas, estaciones, zonas o cultivos: solo existen una estación, un cultivo, una campaña y 148 etiquetas válidas. Esta limitación condicionará la interpretación de las métricas del apartado 4.3.</w:t>
      </w:r>
    </w:p>
    <w:p>
      <w:pPr>
        <w:keepNext/>
        <w:spacing w:before="200" w:after="80"/>
      </w:pPr>
      <w:r>
        <w:rPr>
          <w:rFonts w:ascii="Times New Roman" w:hAnsi="Times New Roman"/>
          <w:b/>
          <w:color w:val="000000"/>
          <w:sz w:val="24"/>
        </w:rPr>
        <w:t>4.2.7. Resultados reproducibles</w:t>
      </w:r>
    </w:p>
    <w:p>
      <w:pPr>
        <w:spacing w:after="120" w:line="276" w:lineRule="auto"/>
        <w:jc w:val="both"/>
      </w:pPr>
      <w:r>
        <w:rPr>
          <w:rFonts w:ascii="Times New Roman" w:hAnsi="Times New Roman"/>
          <w:color w:val="000000"/>
          <w:sz w:val="24"/>
        </w:rPr>
        <w:t>La ejecución de python -m src.analysis.build_eda_4_2 genera:</w:t>
      </w:r>
    </w:p>
    <w:p>
      <w:pPr>
        <w:spacing w:after="60" w:line="276" w:lineRule="auto"/>
        <w:ind w:left="360" w:hanging="230"/>
        <w:jc w:val="both"/>
      </w:pPr>
      <w:r>
        <w:rPr>
          <w:rFonts w:ascii="Times New Roman" w:hAnsi="Times New Roman"/>
          <w:b/>
          <w:i w:val="0"/>
          <w:color w:val="000000"/>
          <w:sz w:val="24"/>
        </w:rPr>
        <w:t xml:space="preserve">• data/processed/modeling_dataset_daily.csv: </w:t>
      </w:r>
      <w:r>
        <w:rPr>
          <w:rFonts w:ascii="Times New Roman" w:hAnsi="Times New Roman"/>
          <w:b w:val="0"/>
          <w:i w:val="0"/>
          <w:color w:val="000000"/>
          <w:sz w:val="24"/>
        </w:rPr>
        <w:t>tabla completa de modelización, excluida de Git por ser un dato generado.</w:t>
      </w:r>
    </w:p>
    <w:p>
      <w:pPr>
        <w:spacing w:after="60" w:line="276" w:lineRule="auto"/>
        <w:ind w:left="360" w:hanging="230"/>
        <w:jc w:val="both"/>
      </w:pPr>
      <w:r>
        <w:rPr>
          <w:rFonts w:ascii="Times New Roman" w:hAnsi="Times New Roman"/>
          <w:b/>
          <w:i w:val="0"/>
          <w:color w:val="000000"/>
          <w:sz w:val="24"/>
        </w:rPr>
        <w:t xml:space="preserve">• eda_summary_4_2.json: </w:t>
      </w:r>
      <w:r>
        <w:rPr>
          <w:rFonts w:ascii="Times New Roman" w:hAnsi="Times New Roman"/>
          <w:b w:val="0"/>
          <w:i w:val="0"/>
          <w:color w:val="000000"/>
          <w:sz w:val="24"/>
        </w:rPr>
        <w:t>resumen verificable de cobertura, calidad, objetivo y correlaciones.</w:t>
      </w:r>
    </w:p>
    <w:p>
      <w:pPr>
        <w:spacing w:after="60" w:line="276" w:lineRule="auto"/>
        <w:ind w:left="360" w:hanging="230"/>
        <w:jc w:val="both"/>
      </w:pPr>
      <w:r>
        <w:rPr>
          <w:rFonts w:ascii="Times New Roman" w:hAnsi="Times New Roman"/>
          <w:b/>
          <w:i w:val="0"/>
          <w:color w:val="000000"/>
          <w:sz w:val="24"/>
        </w:rPr>
        <w:t xml:space="preserve">• eda_variable_summary_4_2.csv: </w:t>
      </w:r>
      <w:r>
        <w:rPr>
          <w:rFonts w:ascii="Times New Roman" w:hAnsi="Times New Roman"/>
          <w:b w:val="0"/>
          <w:i w:val="0"/>
          <w:color w:val="000000"/>
          <w:sz w:val="24"/>
        </w:rPr>
        <w:t>estadísticos descriptivos de las variables principales.</w:t>
      </w:r>
    </w:p>
    <w:p>
      <w:pPr>
        <w:spacing w:after="60" w:line="276" w:lineRule="auto"/>
        <w:ind w:left="360" w:hanging="230"/>
        <w:jc w:val="both"/>
      </w:pPr>
      <w:r>
        <w:rPr>
          <w:rFonts w:ascii="Times New Roman" w:hAnsi="Times New Roman"/>
          <w:b/>
          <w:i w:val="0"/>
          <w:color w:val="000000"/>
          <w:sz w:val="24"/>
        </w:rPr>
        <w:t xml:space="preserve">• feature_catalog_4_2.csv: </w:t>
      </w:r>
      <w:r>
        <w:rPr>
          <w:rFonts w:ascii="Times New Roman" w:hAnsi="Times New Roman"/>
          <w:b w:val="0"/>
          <w:i w:val="0"/>
          <w:color w:val="000000"/>
          <w:sz w:val="24"/>
        </w:rPr>
        <w:t>catálogo de variables y control de fuga de información.</w:t>
      </w:r>
    </w:p>
    <w:p>
      <w:pPr>
        <w:spacing w:after="60" w:line="276" w:lineRule="auto"/>
        <w:ind w:left="360" w:hanging="230"/>
        <w:jc w:val="both"/>
      </w:pPr>
      <w:r>
        <w:rPr>
          <w:rFonts w:ascii="Times New Roman" w:hAnsi="Times New Roman"/>
          <w:b/>
          <w:i w:val="0"/>
          <w:color w:val="000000"/>
          <w:sz w:val="24"/>
        </w:rPr>
        <w:t xml:space="preserve">• modeling_dataset_sample_4_2.csv: </w:t>
      </w:r>
      <w:r>
        <w:rPr>
          <w:rFonts w:ascii="Times New Roman" w:hAnsi="Times New Roman"/>
          <w:b w:val="0"/>
          <w:i w:val="0"/>
          <w:color w:val="000000"/>
          <w:sz w:val="24"/>
        </w:rPr>
        <w:t>muestra ligera de la tabla preparada.</w:t>
      </w:r>
    </w:p>
    <w:p>
      <w:pPr>
        <w:spacing w:after="60" w:line="276" w:lineRule="auto"/>
        <w:ind w:left="360" w:hanging="230"/>
        <w:jc w:val="both"/>
      </w:pPr>
      <w:r>
        <w:rPr>
          <w:rFonts w:ascii="Times New Roman" w:hAnsi="Times New Roman"/>
          <w:b/>
          <w:i w:val="0"/>
          <w:color w:val="000000"/>
          <w:sz w:val="24"/>
        </w:rPr>
        <w:t xml:space="preserve">• docs/images/: </w:t>
      </w:r>
      <w:r>
        <w:rPr>
          <w:rFonts w:ascii="Times New Roman" w:hAnsi="Times New Roman"/>
          <w:b w:val="0"/>
          <w:i w:val="0"/>
          <w:color w:val="000000"/>
          <w:sz w:val="24"/>
        </w:rPr>
        <w:t>cuatro figuras sobre series, distribuciones, correlaciones y calidad.</w:t>
      </w:r>
    </w:p>
    <w:p>
      <w:pPr>
        <w:keepLines/>
        <w:spacing w:after="120" w:line="276" w:lineRule="auto"/>
        <w:jc w:val="both"/>
      </w:pPr>
      <w:r>
        <w:rPr>
          <w:rFonts w:ascii="Times New Roman" w:hAnsi="Times New Roman"/>
          <w:color w:val="000000"/>
          <w:sz w:val="24"/>
        </w:rP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pPr>
        <w:pStyle w:val="Heading2"/>
        <w:keepNext/>
        <w:pageBreakBefore w:val="0"/>
      </w:pPr>
      <w:r>
        <w:rPr>
          <w:rFonts w:ascii="Times New Roman" w:hAnsi="Times New Roman" w:eastAsia="Times New Roman"/>
          <w:b/>
          <w:i w:val="0"/>
          <w:sz w:val="28"/>
        </w:rPr>
        <w:t>4.3. Desarrollo y evaluación del modelo predictivo</w:t>
      </w:r>
    </w:p>
    <w:p>
      <w:pPr>
        <w:spacing w:after="120"/>
      </w:pPr>
      <w:r>
        <w:t xml:space="preserve">El objetivo de esta fase es comprobar si un modelo puede anticipar la necesidad neta diaria de riego publicada por SiAR para el piloto de pimiento en la estación </w:t>
      </w:r>
      <w:r>
        <w:rPr>
          <w:rFonts w:ascii="Consolas" w:hAnsi="Consolas"/>
          <w:sz w:val="19"/>
        </w:rPr>
        <w:t>AL01</w:t>
      </w:r>
      <w:r>
        <w:t xml:space="preserve"> La Mojonera. La variable objetivo, </w:t>
      </w:r>
      <w:r>
        <w:rPr>
          <w:rFonts w:ascii="Consolas" w:hAnsi="Consolas"/>
          <w:sz w:val="19"/>
        </w:rPr>
        <w:t>target_net_irrigation_need_mm</w:t>
      </w:r>
      <w:r>
        <w:t>, es una referencia agronómica calculada y no una medición del riego aplicado ni de la respuesta real del cultivo. Por ello, el experimento demuestra la viabilidad del flujo de modelización del DSS, pero no permite afirmar todavía que se optimice el consumo de agua.</w:t>
      </w:r>
    </w:p>
    <w:p>
      <w:pPr>
        <w:pStyle w:val="Heading3"/>
        <w:keepNext/>
      </w:pPr>
      <w:r>
        <w:rPr>
          <w:rFonts w:ascii="Times New Roman" w:hAnsi="Times New Roman"/>
          <w:color w:val="000000"/>
          <w:sz w:val="24"/>
        </w:rPr>
        <w:t>4.3.1. Conjunto de modelización y prevención de fuga de información</w:t>
      </w:r>
    </w:p>
    <w:p>
      <w:pPr>
        <w:spacing w:after="120"/>
      </w:pPr>
      <w:r>
        <w:t>El entrenamiento consume directamente la tabla analítica construida en el apartado 4.2 (</w:t>
      </w:r>
      <w:r>
        <w:rPr>
          <w:rFonts w:ascii="Consolas" w:hAnsi="Consolas"/>
          <w:sz w:val="19"/>
        </w:rPr>
        <w:t>data/processed/modeling_dataset_daily.csv</w:t>
      </w:r>
      <w:r>
        <w:t>). Así se mantiene la trazabilidad entre extracción, preparación y modelización, y se evita repetir transformaciones con criterios diferentes. De los 150 días del ciclo, 148 disponen de objetivo válido y participan en el experimento.</w:t>
      </w:r>
    </w:p>
    <w:p>
      <w:pPr>
        <w:spacing w:after="120"/>
      </w:pPr>
      <w:r>
        <w:t>Los nueve predictores utilizados son el coeficiente de cultivo conocido para la fecha; la codificación cíclica del día del año; los retardos de 1, 3 y 7 días de la necesidad neta; y sus acumulados históricos de 3, 7 y 14 días. Todos ellos están disponibles antes del día que se desea estimar. Los retardos se calculan por fecha de calendario: si falta el día anterior, el retardo de un día queda ausente y no se sustituye por la última fila disponible.</w:t>
      </w:r>
    </w:p>
    <w:p>
      <w:pPr>
        <w:spacing w:after="120"/>
      </w:pPr>
      <w:r>
        <w:t xml:space="preserve">Se excluyen expresamente la ET0, la ETc y la precipitación efectiva del mismo día, así como las variables diagnósticas derivadas de ellas. La referencia SiAR se aproxima mediante </w:t>
      </w:r>
      <w:r>
        <w:rPr>
          <w:rFonts w:ascii="Consolas" w:hAnsi="Consolas"/>
          <w:sz w:val="19"/>
        </w:rPr>
        <w:t>max(ET0 × Kc − Pe, 0)</w:t>
      </w:r>
      <w:r>
        <w:t>; incluir esos campos permitiría reconstruir el objetivo de forma algebraica y produciría métricas aparentemente buenas sin capacidad predictiva real. Los valores ausentes restantes se imputan con la mediana aprendida exclusivamente en cada periodo de entrenamiento.</w:t>
      </w:r>
    </w:p>
    <w:p>
      <w:pPr>
        <w:pStyle w:val="Heading3"/>
        <w:keepNext/>
      </w:pPr>
      <w:r>
        <w:rPr>
          <w:rFonts w:ascii="Times New Roman" w:hAnsi="Times New Roman"/>
          <w:color w:val="000000"/>
          <w:sz w:val="24"/>
        </w:rPr>
        <w:t>4.3.2. Diseño de validación temporal</w:t>
      </w:r>
    </w:p>
    <w:p>
      <w:pPr>
        <w:keepLines/>
        <w:spacing w:after="120"/>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w:t>
      </w:r>
    </w:p>
    <w:p>
      <w:pPr>
        <w:spacing w:after="120"/>
      </w:pPr>
      <w:r>
        <w:t>Este diseño es más robusto que escoger un modelo mediante una sola partición, porque permite observar si su rendimiento se mantiene a medida que avanza el ciclo del cultivo. El bloque de prueba se consulta una sola vez después de seleccionar el enfoque con menor MAE medio de validación. Se fija la semilla 42 y las predicciones se limitan a un mínimo físico de 0 mm/día.</w:t>
      </w:r>
    </w:p>
    <w:p>
      <w:pPr>
        <w:pStyle w:val="Heading3"/>
        <w:keepNext/>
      </w:pPr>
      <w:r>
        <w:rPr>
          <w:rFonts w:ascii="Times New Roman" w:hAnsi="Times New Roman"/>
          <w:color w:val="000000"/>
          <w:sz w:val="24"/>
        </w:rPr>
        <w:t>4.3.3. Enfoques comparados</w:t>
      </w:r>
    </w:p>
    <w:p>
      <w:pPr>
        <w:spacing w:after="120"/>
      </w:pPr>
      <w:r>
        <w:t>Se comparan seis alternativas con distinta complejidad. Los tres enfoques iniciales se conservan y se añaden KNN, SVR y XGBoost para ampliar la evidencia antes de elegir el modelo:</w:t>
      </w:r>
    </w:p>
    <w:p>
      <w:pPr>
        <w:spacing w:after="60"/>
        <w:ind w:left="360" w:hanging="259"/>
      </w:pPr>
      <w:r>
        <w:t xml:space="preserve">1. </w:t>
      </w:r>
      <w:r>
        <w:rPr>
          <w:b/>
        </w:rPr>
        <w:t>Persistencia:</w:t>
      </w:r>
      <w:r>
        <w:t xml:space="preserve"> para una predicción a un día, asigna al día </w:t>
      </w:r>
      <w:r>
        <w:rPr>
          <w:rFonts w:ascii="Consolas" w:hAnsi="Consolas"/>
          <w:sz w:val="19"/>
        </w:rPr>
        <w:t>t</w:t>
      </w:r>
      <w:r>
        <w:t xml:space="preserve"> la necesidad observada en </w:t>
      </w:r>
      <w:r>
        <w:rPr>
          <w:rFonts w:ascii="Consolas" w:hAnsi="Consolas"/>
          <w:sz w:val="19"/>
        </w:rPr>
        <w:t>t-1</w:t>
      </w:r>
      <w:r>
        <w:t>. Si el retardo no está disponible, utiliza la mediana aprendida en el periodo de entrenamiento. No es un algoritmo de aprendizaje automático, sino un baseline temporal que los modelos más complejos deben superar.</w:t>
      </w:r>
    </w:p>
    <w:p>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pPr>
        <w:spacing w:after="60"/>
        <w:ind w:left="360" w:hanging="259"/>
      </w:pPr>
      <w:r>
        <w:t xml:space="preserve">5. </w:t>
      </w:r>
      <w:r>
        <w:rPr>
          <w:b/>
        </w:rPr>
        <w:t>Support Vector Regression:</w:t>
      </w:r>
      <w:r>
        <w:t xml:space="preserve"> utiliza un kernel RBF para representar relaciones no lineales. Se configura con </w:t>
      </w:r>
      <w:r>
        <w:rPr>
          <w:rFonts w:ascii="Consolas" w:hAnsi="Consolas"/>
          <w:sz w:val="19"/>
        </w:rPr>
        <w:t>C=10</w:t>
      </w:r>
      <w:r>
        <w:t xml:space="preserve"> y </w:t>
      </w:r>
      <w:r>
        <w:rPr>
          <w:rFonts w:ascii="Consolas" w:hAnsi="Consolas"/>
          <w:sz w:val="19"/>
        </w:rPr>
        <w:t>epsilon=0,1</w:t>
      </w:r>
      <w:r>
        <w:t>, precedido por imputación y estandarización.</w:t>
      </w:r>
    </w:p>
    <w:p>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pPr>
        <w:spacing w:after="120"/>
      </w:pPr>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pPr>
        <w:pStyle w:val="Heading3"/>
        <w:keepNext/>
      </w:pPr>
      <w:r>
        <w:rPr>
          <w:rFonts w:ascii="Times New Roman" w:hAnsi="Times New Roman"/>
          <w:color w:val="000000"/>
          <w:sz w:val="24"/>
        </w:rPr>
        <w:t>4.3.4. Métricas de evaluación</w:t>
      </w:r>
    </w:p>
    <w:p>
      <w:pPr>
        <w:spacing w:after="120"/>
      </w:pPr>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Esta última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pPr>
        <w:pStyle w:val="Heading3"/>
        <w:keepNext/>
      </w:pPr>
      <w:r>
        <w:rPr>
          <w:rFonts w:ascii="Times New Roman" w:hAnsi="Times New Roman"/>
          <w:color w:val="000000"/>
          <w:sz w:val="24"/>
        </w:rPr>
        <w:t>4.3.5. Resultados de validación</w:t>
      </w:r>
    </w:p>
    <w:p>
      <w:pPr>
        <w:spacing w:after="120"/>
      </w:pPr>
      <w:r>
        <w:rPr>
          <w:b/>
        </w:rPr>
        <w:t>Tabla 4.10. Rendimiento medio en los tres cortes de validación temporal.</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b/>
                <w:color w:val="FFFFFF"/>
                <w:sz w:val="16"/>
              </w:rPr>
              <w:t>Enfoque</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MAE diario (media ± desv.)</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RMSE diario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Sesgo diario</w:t>
            </w:r>
          </w:p>
        </w:tc>
        <w:tc>
          <w:tcPr>
            <w:tcW w:type="dxa" w:w="1805"/>
            <w:vAlign w:val="center"/>
            <w:tcMar>
              <w:top w:w="90" w:type="dxa"/>
              <w:start w:w="100" w:type="dxa"/>
              <w:bottom w:w="90" w:type="dxa"/>
              <w:end w:w="100" w:type="dxa"/>
            </w:tcMar>
            <w:shd w:fill="1F4E78"/>
          </w:tcPr>
          <w:p>
            <w:pPr>
              <w:jc w:val="center"/>
            </w:pPr>
            <w:r>
              <w:rPr>
                <w:rFonts w:ascii="Times New Roman" w:hAnsi="Times New Roman"/>
                <w:b/>
                <w:color w:val="FFFFFF"/>
                <w:sz w:val="16"/>
              </w:rPr>
              <w:t>MAE semanal</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Persistencia</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0,434 ± 0,075</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0,644</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0,013</w:t>
            </w:r>
          </w:p>
        </w:tc>
        <w:tc>
          <w:tcPr>
            <w:tcW w:type="dxa" w:w="1805"/>
            <w:vAlign w:val="center"/>
            <w:tcMar>
              <w:top w:w="90" w:type="dxa"/>
              <w:start w:w="100" w:type="dxa"/>
              <w:bottom w:w="90" w:type="dxa"/>
              <w:end w:w="100" w:type="dxa"/>
            </w:tcMar>
          </w:tcPr>
          <w:p>
            <w:pPr>
              <w:jc w:val="center"/>
            </w:pPr>
            <w:r>
              <w:rPr>
                <w:rFonts w:ascii="Times New Roman" w:hAnsi="Times New Roman"/>
                <w:b/>
                <w:color w:val="000000"/>
                <w:sz w:val="16"/>
              </w:rPr>
              <w:t>0,926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Ridge</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0,602 ± 0,303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0,742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0,292</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2,803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Random Forest</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1,118 ± 0,090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1,385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-0,432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6,396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KNN</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0,937 ± 0,284</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1,113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-0,413</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5,383</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SVR</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1,052 ± 0,136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1,263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-0,731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5,876</w:t>
            </w:r>
          </w:p>
        </w:tc>
      </w:tr>
      <w:tr>
        <w:trPr>
          <w:cantSplit/>
        </w:trPr>
        <w:tc>
          <w:tcPr>
            <w:tcW w:type="dxa" w:w="1805"/>
            <w:vAlign w:val="center"/>
            <w:tcMar>
              <w:top w:w="90" w:type="dxa"/>
              <w:start w:w="100" w:type="dxa"/>
              <w:bottom w:w="90" w:type="dxa"/>
              <w:end w:w="100" w:type="dxa"/>
            </w:tcMar>
            <w:shd w:fill="EAF2F8"/>
          </w:tcPr>
          <w:p>
            <w:pPr>
              <w:jc w:val="left"/>
            </w:pPr>
            <w:r>
              <w:rPr>
                <w:rFonts w:ascii="Times New Roman" w:hAnsi="Times New Roman"/>
                <w:color w:val="000000"/>
                <w:sz w:val="16"/>
              </w:rPr>
              <w:t>XGBoost</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1,141 ± 0,340</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1,378</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-0,535</w:t>
            </w:r>
          </w:p>
        </w:tc>
        <w:tc>
          <w:tcPr>
            <w:tcW w:type="dxa" w:w="1805"/>
            <w:vAlign w:val="center"/>
            <w:tcMar>
              <w:top w:w="90" w:type="dxa"/>
              <w:start w:w="100" w:type="dxa"/>
              <w:bottom w:w="90" w:type="dxa"/>
              <w:end w:w="100" w:type="dxa"/>
            </w:tcMar>
            <w:shd w:fill="EAF2F8"/>
          </w:tcPr>
          <w:p>
            <w:pPr>
              <w:jc w:val="center"/>
            </w:pPr>
            <w:r>
              <w:rPr>
                <w:rFonts w:ascii="Times New Roman" w:hAnsi="Times New Roman"/>
                <w:color w:val="000000"/>
                <w:sz w:val="16"/>
              </w:rPr>
              <w:t>6,607</w:t>
            </w:r>
          </w:p>
        </w:tc>
      </w:tr>
    </w:tbl>
    <w:p>
      <w:pPr>
        <w:spacing w:after="40"/>
      </w:pPr>
    </w:p>
    <w:p>
      <w:pPr>
        <w:spacing w:after="120"/>
      </w:pPr>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pPr>
        <w:keepNext/>
        <w:jc w:val="center"/>
      </w:pPr>
      <w:r>
        <w:drawing>
          <wp:inline xmlns:wp="http://schemas.openxmlformats.org/drawingml/2006/wordprocessingDrawing" xmlns:a="http://schemas.openxmlformats.org/drawingml/2006/main" xmlns:pic="http://schemas.openxmlformats.org/drawingml/2006/picture">
            <wp:extent cx="5577840" cy="2710339"/>
            <wp:docPr id="23" name="Picture 23"/>
            <wp:cNvGraphicFramePr>
              <a:graphicFrameLocks noChangeAspect="1"/>
            </wp:cNvGraphicFramePr>
            <a:graphic>
              <a:graphicData uri="http://schemas.openxmlformats.org/drawingml/2006/picture">
                <pic:pic>
                  <pic:nvPicPr>
                    <pic:cNvPr id="0" name="image.png"/>
                    <pic:cNvPicPr/>
                  </pic:nvPicPr>
                  <pic:blipFill>
                    <a:blip ns1:embed="rId15"/>
                    <a:stretch>
                      <a:fillRect/>
                    </a:stretch>
                  </pic:blipFill>
                  <pic:spPr>
                    <a:xfrm>
                      <a:off x="0" y="0"/>
                      <a:ext cx="5577840" cy="2710339"/>
                    </a:xfrm>
                    <a:prstGeom prst="rect"/>
                  </pic:spPr>
                </pic:pic>
              </a:graphicData>
            </a:graphic>
          </wp:inline>
        </w:drawing>
      </w:r>
    </w:p>
    <w:p>
      <w:pPr>
        <w:keepLines/>
        <w:jc w:val="center"/>
      </w:pPr>
      <w:r>
        <w:rPr>
          <w:i/>
          <w:sz w:val="20"/>
        </w:rPr>
        <w:t>Figura 4.6. Estabilidad temporal de los modelos durante la validación y comparación con la prueba final.</w:t>
      </w:r>
    </w:p>
    <w:p>
      <w:pPr>
        <w:pStyle w:val="Heading3"/>
        <w:keepNext/>
      </w:pPr>
      <w:r>
        <w:rPr>
          <w:rFonts w:ascii="Times New Roman" w:hAnsi="Times New Roman"/>
          <w:color w:val="000000"/>
          <w:sz w:val="24"/>
        </w:rPr>
        <w:t>4.3.6. Evaluación sobre el tramo de prueba</w:t>
      </w:r>
    </w:p>
    <w:p>
      <w:pPr>
        <w:spacing w:after="120"/>
      </w:pPr>
      <w:r>
        <w:rPr>
          <w:b/>
        </w:rPr>
        <w:t>Tabla 4.11. Resultados sobre el periodo de prueba reservado.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4"/>
        <w:gridCol w:w="1504"/>
        <w:gridCol w:w="1504"/>
        <w:gridCol w:w="1504"/>
        <w:gridCol w:w="1504"/>
        <w:gridCol w:w="1504"/>
      </w:tblGrid>
      <w:tr>
        <w:trPr>
          <w:tblHeader w:val="true"/>
          <w:cantSplit/>
        </w:trPr>
        <w:tc>
          <w:tcPr>
            <w:tcW w:type="dxa" w:w="1504"/>
            <w:vAlign w:val="center"/>
            <w:tcMar>
              <w:top w:w="90" w:type="dxa"/>
              <w:start w:w="100" w:type="dxa"/>
              <w:bottom w:w="90" w:type="dxa"/>
              <w:end w:w="100" w:type="dxa"/>
            </w:tcMar>
            <w:shd w:fill="1F4E78"/>
          </w:tcPr>
          <w:p>
            <w:pPr>
              <w:jc w:val="left"/>
            </w:pPr>
            <w:r>
              <w:rPr>
                <w:rFonts w:ascii="Times New Roman" w:hAnsi="Times New Roman"/>
                <w:b/>
                <w:color w:val="FFFFFF"/>
                <w:sz w:val="16"/>
              </w:rPr>
              <w:t>Enfoque</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MAE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RMSE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R²</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Sesgo diario</w:t>
            </w:r>
          </w:p>
        </w:tc>
        <w:tc>
          <w:tcPr>
            <w:tcW w:type="dxa" w:w="1504"/>
            <w:vAlign w:val="center"/>
            <w:tcMar>
              <w:top w:w="90" w:type="dxa"/>
              <w:start w:w="100" w:type="dxa"/>
              <w:bottom w:w="90" w:type="dxa"/>
              <w:end w:w="100" w:type="dxa"/>
            </w:tcMar>
            <w:shd w:fill="1F4E78"/>
          </w:tcPr>
          <w:p>
            <w:pPr>
              <w:jc w:val="center"/>
            </w:pPr>
            <w:r>
              <w:rPr>
                <w:rFonts w:ascii="Times New Roman" w:hAnsi="Times New Roman"/>
                <w:b/>
                <w:color w:val="FFFFFF"/>
                <w:sz w:val="16"/>
              </w:rPr>
              <w:t>MAE semanal</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Persistencia</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0,120</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0,156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-0,561</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-0,000</w:t>
            </w:r>
          </w:p>
        </w:tc>
        <w:tc>
          <w:tcPr>
            <w:tcW w:type="dxa" w:w="1504"/>
            <w:vAlign w:val="center"/>
            <w:tcMar>
              <w:top w:w="90" w:type="dxa"/>
              <w:start w:w="100" w:type="dxa"/>
              <w:bottom w:w="90" w:type="dxa"/>
              <w:end w:w="100" w:type="dxa"/>
            </w:tcMar>
          </w:tcPr>
          <w:p>
            <w:pPr>
              <w:jc w:val="center"/>
            </w:pPr>
            <w:r>
              <w:rPr>
                <w:rFonts w:ascii="Times New Roman" w:hAnsi="Times New Roman"/>
                <w:b/>
                <w:color w:val="000000"/>
                <w:sz w:val="16"/>
              </w:rPr>
              <w:t>0,172</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Ridge</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0,314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0,352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-6,962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-0,310</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1,784</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Random Forest</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0,583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-20,780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3,232</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KNN</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0,544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0,562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-19,211</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0,544</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3,128</w:t>
            </w:r>
          </w:p>
        </w:tc>
      </w:tr>
      <w:tr>
        <w:trPr>
          <w:cantSplit/>
        </w:trPr>
        <w:tc>
          <w:tcPr>
            <w:tcW w:type="dxa" w:w="1504"/>
            <w:vAlign w:val="center"/>
            <w:tcMar>
              <w:top w:w="90" w:type="dxa"/>
              <w:start w:w="100" w:type="dxa"/>
              <w:bottom w:w="90" w:type="dxa"/>
              <w:end w:w="100" w:type="dxa"/>
            </w:tcMar>
          </w:tcPr>
          <w:p>
            <w:pPr>
              <w:jc w:val="left"/>
            </w:pPr>
            <w:r>
              <w:rPr>
                <w:rFonts w:ascii="Times New Roman" w:hAnsi="Times New Roman"/>
                <w:color w:val="000000"/>
                <w:sz w:val="16"/>
              </w:rPr>
              <w:t>SVR</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1,486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1,503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-143,726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1,486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8,543</w:t>
            </w:r>
          </w:p>
        </w:tc>
      </w:tr>
      <w:tr>
        <w:trPr>
          <w:cantSplit/>
        </w:trPr>
        <w:tc>
          <w:tcPr>
            <w:tcW w:type="dxa" w:w="1504"/>
            <w:vAlign w:val="center"/>
            <w:tcMar>
              <w:top w:w="90" w:type="dxa"/>
              <w:start w:w="100" w:type="dxa"/>
              <w:bottom w:w="90" w:type="dxa"/>
              <w:end w:w="100" w:type="dxa"/>
            </w:tcMar>
            <w:shd w:fill="EAF2F8"/>
          </w:tcPr>
          <w:p>
            <w:pPr>
              <w:jc w:val="left"/>
            </w:pPr>
            <w:r>
              <w:rPr>
                <w:rFonts w:ascii="Times New Roman" w:hAnsi="Times New Roman"/>
                <w:color w:val="000000"/>
                <w:sz w:val="16"/>
              </w:rPr>
              <w:t>XGBoost</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0,766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0,782</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-38,145</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0,766</w:t>
            </w:r>
          </w:p>
        </w:tc>
        <w:tc>
          <w:tcPr>
            <w:tcW w:type="dxa" w:w="1504"/>
            <w:vAlign w:val="center"/>
            <w:tcMar>
              <w:top w:w="90" w:type="dxa"/>
              <w:start w:w="100" w:type="dxa"/>
              <w:bottom w:w="90" w:type="dxa"/>
              <w:end w:w="100" w:type="dxa"/>
            </w:tcMar>
            <w:shd w:fill="EAF2F8"/>
          </w:tcPr>
          <w:p>
            <w:pPr>
              <w:jc w:val="center"/>
            </w:pPr>
            <w:r>
              <w:rPr>
                <w:rFonts w:ascii="Times New Roman" w:hAnsi="Times New Roman"/>
                <w:color w:val="000000"/>
                <w:sz w:val="16"/>
              </w:rPr>
              <w:t>4,402</w:t>
            </w:r>
          </w:p>
        </w:tc>
      </w:tr>
    </w:tbl>
    <w:p>
      <w:pPr>
        <w:spacing w:after="40"/>
      </w:pPr>
    </w:p>
    <w:p>
      <w:pPr>
        <w:spacing w:after="120"/>
      </w:pPr>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pPr>
        <w:keepNext/>
        <w:jc w:val="center"/>
      </w:pPr>
      <w:r>
        <w:drawing>
          <wp:inline xmlns:wp="http://schemas.openxmlformats.org/drawingml/2006/wordprocessingDrawing" xmlns:a="http://schemas.openxmlformats.org/drawingml/2006/main" xmlns:pic="http://schemas.openxmlformats.org/drawingml/2006/picture">
            <wp:extent cx="5577840" cy="3537503"/>
            <wp:docPr id="24" name="Picture 24"/>
            <wp:cNvGraphicFramePr>
              <a:graphicFrameLocks noChangeAspect="1"/>
            </wp:cNvGraphicFramePr>
            <a:graphic>
              <a:graphicData uri="http://schemas.openxmlformats.org/drawingml/2006/picture">
                <pic:pic>
                  <pic:nvPicPr>
                    <pic:cNvPr id="0" name="image.png"/>
                    <pic:cNvPicPr/>
                  </pic:nvPicPr>
                  <pic:blipFill>
                    <a:blip ns1:embed="rId16"/>
                    <a:stretch>
                      <a:fillRect/>
                    </a:stretch>
                  </pic:blipFill>
                  <pic:spPr>
                    <a:xfrm>
                      <a:off x="0" y="0"/>
                      <a:ext cx="5577840" cy="3537503"/>
                    </a:xfrm>
                    <a:prstGeom prst="rect"/>
                  </pic:spPr>
                </pic:pic>
              </a:graphicData>
            </a:graphic>
          </wp:inline>
        </w:drawing>
      </w:r>
    </w:p>
    <w:p>
      <w:pPr>
        <w:keepLines/>
        <w:jc w:val="center"/>
      </w:pPr>
      <w:r>
        <w:rPr>
          <w:i/>
          <w:sz w:val="20"/>
        </w:rPr>
        <w:t>Figura 4.7. Predicciones y errores diarios de los seis enfoques en el tramo de prueba.</w:t>
      </w:r>
    </w:p>
    <w:p>
      <w:pPr>
        <w:pStyle w:val="Heading3"/>
        <w:keepNext/>
      </w:pPr>
      <w:r>
        <w:rPr>
          <w:rFonts w:ascii="Times New Roman" w:hAnsi="Times New Roman"/>
          <w:color w:val="000000"/>
          <w:sz w:val="24"/>
        </w:rPr>
        <w:t>4.3.7. Decisión e interpretación</w:t>
      </w:r>
    </w:p>
    <w:p>
      <w:pPr>
        <w:spacing w:after="120"/>
      </w:pPr>
      <w:r>
        <w:t>Con la evidencia disponible, la decisión técnica es mantener la persistencia como referencia predictiva del piloto y no desplegar todavía ninguno de los cinco algoritmos de aprendizaje. Ridge se conserva como el mejor candidato de machine learning para futuras comparaciones. Esto no significa que el aprendizaje automático carezca de utilidad, sino que la muestra actual —un único ciclo, cultivo y estación— no contiene información suficiente para demostrar una mejora estable frente a una serie muy autocorrelacionada.</w:t>
      </w:r>
    </w:p>
    <w:p>
      <w:pPr>
        <w:spacing w:after="120"/>
      </w:pPr>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pPr>
        <w:spacing w:after="120"/>
      </w:pPr>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pPr>
        <w:pStyle w:val="Heading3"/>
        <w:keepNext/>
      </w:pPr>
      <w:r>
        <w:rPr>
          <w:rFonts w:ascii="Times New Roman" w:hAnsi="Times New Roman"/>
          <w:color w:val="000000"/>
          <w:sz w:val="24"/>
        </w:rPr>
        <w:t>4.3.8. Limitaciones y evolución prevista</w:t>
      </w:r>
    </w:p>
    <w:p>
      <w:pPr>
        <w:spacing w:after="120"/>
      </w:pPr>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pPr>
        <w:spacing w:after="120"/>
      </w:pPr>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pPr>
        <w:pStyle w:val="Heading3"/>
        <w:keepNext/>
      </w:pPr>
      <w:r>
        <w:rPr>
          <w:rFonts w:ascii="Times New Roman" w:hAnsi="Times New Roman"/>
          <w:color w:val="000000"/>
          <w:sz w:val="24"/>
        </w:rPr>
        <w:t>4.3.9. Reproducibilidad y evidencias</w:t>
      </w:r>
    </w:p>
    <w:p>
      <w:pPr>
        <w:spacing w:after="120"/>
      </w:pPr>
      <w:r>
        <w:t xml:space="preserve">El flujo se implementa en </w:t>
      </w:r>
      <w:r>
        <w:rPr>
          <w:rFonts w:ascii="Consolas" w:hAnsi="Consolas"/>
          <w:sz w:val="19"/>
        </w:rPr>
        <w:t>src/models/train_evaluate.py</w:t>
      </w:r>
      <w:r>
        <w:t xml:space="preserve"> y se ejecuta con:</w:t>
      </w:r>
    </w:p>
    <w:p>
      <w:pPr>
        <w:spacing w:before="80" w:after="140"/>
        <w:ind w:left="360" w:right="216"/>
        <w:jc w:val="left"/>
        <w:shd w:fill="F2F2F2"/>
      </w:pPr>
      <w:r>
        <w:rPr>
          <w:rFonts w:ascii="Consolas" w:hAnsi="Consolas"/>
          <w:sz w:val="17"/>
        </w:rPr>
        <w:t>python -m src.models.train_evaluate</w:t>
      </w:r>
    </w:p>
    <w:p>
      <w:pPr>
        <w:spacing w:after="120"/>
      </w:pPr>
      <w:r>
        <w:t>El comando genera el informe completo de validación y prueba (</w:t>
      </w:r>
      <w:r>
        <w:rPr>
          <w:rFonts w:ascii="Consolas" w:hAnsi="Consolas"/>
          <w:sz w:val="19"/>
        </w:rPr>
        <w:t>docs/data_samples/model_evaluation_4_3.json</w:t>
      </w:r>
      <w:r>
        <w:t>), las predicciones de los seis enfoques para los 23 días finales (</w:t>
      </w:r>
      <w:r>
        <w:rPr>
          <w:rFonts w:ascii="Consolas" w:hAnsi="Consolas"/>
          <w:sz w:val="19"/>
        </w:rPr>
        <w:t>docs/data_samples/model_predictions_4_3.csv</w:t>
      </w:r>
      <w:r>
        <w:t>),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pPr>
        <w:pStyle w:val="Heading1"/>
      </w:pPr>
      <w:r>
        <w:t>5. Sistema de optimización y resultados</w:t>
      </w:r>
    </w:p>
    <w:p>
      <w:pPr>
        <w:pStyle w:val="Heading2"/>
        <w:keepNext/>
        <w:pageBreakBefore w:val="0"/>
      </w:pPr>
      <w:r>
        <w:rPr>
          <w:rFonts w:ascii="Times New Roman" w:hAnsi="Times New Roman" w:eastAsia="Times New Roman"/>
          <w:b/>
          <w:i w:val="0"/>
          <w:sz w:val="28"/>
        </w:rPr>
        <w:t>5.1. Diseño del sistema de recomendación de riego</w:t>
      </w:r>
    </w:p>
    <w:p>
      <w:pPr>
        <w:spacing w:after="120"/>
      </w:pPr>
      <w:r>
        <w:t>El capítulo anterior dejó dos resultados que condicionan el diseño del sistema. Por un lado, la necesidad neta publicada por SiAR puede reconstruirse a partir de la ET0, el coeficiente de cultivo y la precipitación efectiva, de modo que existe una referencia agronómica explicable para los días ya cerrados. Por otro, ninguno de los cinco algoritmos de aprendizaje automático evaluados en el apartado 4.3 superó de forma estable a la persistencia cuando se trata de anticipar el día siguiente. El motor de recomendación se ha construido a partir de ambas constataciones. Su función consiste en transformar la información disponible en una dosis de riego diaria y en un total para el horizonte solicitado, dejando constancia del origen de cada cifra y de las situaciones en las que la propuesta merece menos confianza.</w:t>
      </w:r>
    </w:p>
    <w:p>
      <w:pPr>
        <w:spacing w:after="120"/>
      </w:pPr>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Lo que ofrece es una referencia hídrica razonada, acompañada de las reglas que la han modificado y de las advertencias que deben revisarse antes de regar, en línea con el planteamiento híbrido descrito en el apartado 2.3 (Navarro-Hellín et al., 2016; Zhai et al., 2020).</w:t>
      </w:r>
    </w:p>
    <w:p>
      <w:pPr>
        <w:pStyle w:val="Heading3"/>
        <w:keepNext/>
      </w:pPr>
      <w:r>
        <w:rPr>
          <w:rFonts w:ascii="Times New Roman" w:hAnsi="Times New Roman"/>
          <w:color w:val="000000"/>
          <w:sz w:val="24"/>
        </w:rPr>
        <w:t>5.1.1. Requisitos de partida</w:t>
      </w:r>
    </w:p>
    <w:p>
      <w:pPr>
        <w:spacing w:after="120"/>
      </w:pPr>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pPr>
        <w:spacing w:after="120"/>
      </w:pPr>
      <w:r>
        <w:t>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pPr>
        <w:pStyle w:val="Heading3"/>
        <w:keepNext/>
      </w:pPr>
      <w:r>
        <w:rPr>
          <w:rFonts w:ascii="Times New Roman" w:hAnsi="Times New Roman"/>
          <w:color w:val="000000"/>
          <w:sz w:val="24"/>
        </w:rPr>
        <w:t>5.1.2. Arquitectura del motor</w:t>
      </w:r>
    </w:p>
    <w:p>
      <w:pPr>
        <w:spacing w:after="120"/>
      </w:pPr>
      <w:r>
        <w:t xml:space="preserve">La Figura 5.1 resume el recorrido de una consulta. Las entradas del usuario y los datos de la fuente alimentan un módulo de estimación diaria; su resultado pasa por un conjunto de reglas numeradas y, finalmente, se genera una salida diaria y un resumen del horizonte. La lógica se encuentra en </w:t>
      </w:r>
      <w:r>
        <w:rPr>
          <w:rFonts w:ascii="Consolas" w:hAnsi="Consolas"/>
          <w:sz w:val="19"/>
        </w:rPr>
        <w:t>src/dss</w:t>
      </w:r>
      <w:r>
        <w:t>, separada de los clientes de las APIs y de los módulos de modelado, de forma que puede reutilizarse desde la línea de comandos, desde la interfaz del apartado 5.2 o desde los scripts de validación del apartado 5.3.</w:t>
      </w:r>
    </w:p>
    <w:p>
      <w:pPr>
        <w:keepNext/>
        <w:jc w:val="center"/>
      </w:pPr>
      <w:r>
        <w:drawing>
          <wp:inline xmlns:wp="http://schemas.openxmlformats.org/drawingml/2006/wordprocessingDrawing" xmlns:a="http://schemas.openxmlformats.org/drawingml/2006/main" xmlns:pic="http://schemas.openxmlformats.org/drawingml/2006/picture">
            <wp:extent cx="5577840" cy="2783278"/>
            <wp:docPr id="25" name="Picture 25"/>
            <wp:cNvGraphicFramePr>
              <a:graphicFrameLocks noChangeAspect="1"/>
            </wp:cNvGraphicFramePr>
            <a:graphic>
              <a:graphicData uri="http://schemas.openxmlformats.org/drawingml/2006/picture">
                <pic:pic>
                  <pic:nvPicPr>
                    <pic:cNvPr id="0" name="image.png"/>
                    <pic:cNvPicPr/>
                  </pic:nvPicPr>
                  <pic:blipFill>
                    <a:blip ns1:embed="rId18"/>
                    <a:stretch>
                      <a:fillRect/>
                    </a:stretch>
                  </pic:blipFill>
                  <pic:spPr>
                    <a:xfrm>
                      <a:off x="0" y="0"/>
                      <a:ext cx="5577840" cy="2783278"/>
                    </a:xfrm>
                    <a:prstGeom prst="rect"/>
                  </pic:spPr>
                </pic:pic>
              </a:graphicData>
            </a:graphic>
          </wp:inline>
        </w:drawing>
      </w:r>
    </w:p>
    <w:p>
      <w:pPr>
        <w:keepLines/>
        <w:jc w:val="center"/>
      </w:pPr>
      <w:r>
        <w:rPr>
          <w:i/>
          <w:sz w:val="20"/>
        </w:rPr>
        <w:t>Figura 5.1. Flujo de una consulta en el motor de recomendación.</w:t>
      </w:r>
    </w:p>
    <w:p>
      <w:pPr>
        <w:spacing w:after="120"/>
      </w:pPr>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pPr>
        <w:pStyle w:val="Heading3"/>
        <w:keepNext/>
      </w:pPr>
      <w:r>
        <w:rPr>
          <w:rFonts w:ascii="Times New Roman" w:hAnsi="Times New Roman"/>
          <w:color w:val="000000"/>
          <w:sz w:val="24"/>
        </w:rPr>
        <w:t>5.1.3. Estimación de la necesidad neta</w:t>
      </w:r>
    </w:p>
    <w:p>
      <w:pPr>
        <w:spacing w:after="120"/>
      </w:pPr>
      <w:r>
        <w:t>El motor distingue dos modos de consulta. En el modo de seguimiento se analizan días ya cerrados y se aplica la expresión agronómica con las variables observadas:</w:t>
      </w:r>
    </w:p>
    <w:p>
      <w:pPr>
        <w:spacing w:before="80" w:after="140"/>
        <w:ind w:left="360" w:right="216"/>
        <w:jc w:val="left"/>
        <w:shd w:fill="F2F2F2"/>
      </w:pPr>
      <w:r>
        <w:rPr>
          <w:rFonts w:ascii="Consolas" w:hAnsi="Consolas"/>
          <w:sz w:val="17"/>
        </w:rPr>
        <w:t>necesidad neta = max(ET0 × Kc − Pe, 0)</w:t>
      </w:r>
    </w:p>
    <w:p>
      <w:pPr>
        <w:spacing w:after="120"/>
      </w:pPr>
      <w:r>
        <w:t>Este modo sirve para revisar a posteriori lo que debería haberse aplicado y para comparar la planificación con la referencia. En el modo de planificación, que es el uso operativo, la ET0 y la precipitación efectiva del día que se quiere regar todavía no se conocen. Para ese caso se establecieron tres vías con un orden de preferencia fijo.</w:t>
      </w:r>
    </w:p>
    <w:p>
      <w:pPr>
        <w:spacing w:after="120"/>
      </w:pPr>
      <w:r>
        <w:t>La vía preferente utiliza una ET0 prevista cuando el usuario o la fuente la proporcionan, ya sea el producto pronosticado de SiAR o una estimación calculada a partir de la predicción de AEMET.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pPr>
        <w:spacing w:after="120"/>
      </w:pPr>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pPr>
        <w:spacing w:after="120"/>
      </w:pPr>
      <w:r>
        <w:t>La lluvia prevista no se descuenta de forma automática. La precipitación efectiva depende de la intensidad, del estado del suelo y de las pérdidas por escorrentía o percolación, y solo puede valorarse con cierta fiabilidad una vez ha llovido (Allen et al., 1998). En un clima como el de la costa de Almería, donde la precipitación efectiva acumulada de toda la campaña fue de 2,51 mm, restar una lluvia pronosticada que finalmente no llega supondría dejar el cultivo sin agua en pleno verano. El sistema opta por mantener la dosis y avisar de que conviene aplazar el riego y recalcular cuando se conozca la precipitación real.</w:t>
      </w:r>
    </w:p>
    <w:p>
      <w:pPr>
        <w:pStyle w:val="Heading3"/>
        <w:keepNext/>
      </w:pPr>
      <w:r>
        <w:rPr>
          <w:rFonts w:ascii="Times New Roman" w:hAnsi="Times New Roman"/>
          <w:color w:val="000000"/>
          <w:sz w:val="24"/>
        </w:rPr>
        <w:t>5.1.4. Reglas de decisión</w:t>
      </w:r>
    </w:p>
    <w:p>
      <w:pPr>
        <w:spacing w:after="120"/>
      </w:pPr>
      <w:r>
        <w:t>Sobre la estimación se aplica un conjunto de diez reglas, numeradas para que aparezcan en la salida con la misma denominación que en esta memoria. La Tabla 5.1 recoge su finalidad y su efecto.</w:t>
      </w:r>
    </w:p>
    <w:p>
      <w:pPr>
        <w:keepNext/>
        <w:spacing w:after="120"/>
      </w:pPr>
      <w:r>
        <w:rPr>
          <w:b/>
        </w:rPr>
        <w:t>Tabla 5.1. Reglas aplicadas por el motor de recomendación.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8"/>
        <w:gridCol w:w="3008"/>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color w:val="FFFFFF"/>
                <w:sz w:val="16"/>
                <w:b/>
              </w:rPr>
              <w:t>Regla</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Finalidad</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Efecto sobre la recomendación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R1 Cobertura de datos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Comprobar que existen observaciones recientes suficientes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Cambia de vía de estimación y añade un aviso cuando faltan datos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R2 Ciclo del cultivo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Evitar recomendaciones fuera del calendario publicado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No se emite recomendación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R3 Extrapolación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Detectar una ET0 alejada más de un 10 % del intervalo observado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extrapolación y confianza baja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R4 No negatividad</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Impedir dosis negativas cuando la lluvia supera la ETc</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La necesidad se fija en 0 mm</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R5 Lluvia prevista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Señalar episodios de lluvia de al menos 5 mm o probabilidad del 60 %</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aplazamiento sin descontar la lluvia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R6 Dosis bruta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Incorporar las pérdidas del sistema de aplicación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Dosis bruta = necesidad neta / eficiencia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R7 Dotación disponible</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Respetar un límite semanal de agua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Reducción proporcional y aviso de déficit</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R8 Volumen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Expresar la dosis por parcela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1 mm sobre 1 ha equivale a 10 m3</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R9 Horizonte</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Informar de que el error crece con la anticipación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indica el error medio esperado para ese día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R10 Kc completado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Dejar constancia de fechas no devueltas por la fuente</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imputación del Kc</w:t>
            </w:r>
          </w:p>
        </w:tc>
      </w:tr>
    </w:tbl>
    <w:p>
      <w:pPr>
        <w:spacing w:after="40"/>
      </w:pPr>
    </w:p>
    <w:p>
      <w:pPr>
        <w:spacing w:after="120"/>
      </w:pPr>
      <w:r>
        <w:t>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del mantenimiento y de la uniformidad de cada sistema (Burt et al., 1997). El valor admitido se limita al intervalo entre 0,30 y 1,00 para evitar errores de introducción.</w:t>
      </w:r>
    </w:p>
    <w:p>
      <w:pPr>
        <w:spacing w:after="120"/>
      </w:pPr>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pPr>
        <w:spacing w:after="120"/>
      </w:pPr>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Los umbrales de horizonte se apoyan en los errores medidos en el apartado 5.3 y pueden ajustarse cuando se disponga de más campañas.</w:t>
      </w:r>
    </w:p>
    <w:p>
      <w:pPr>
        <w:pStyle w:val="Heading3"/>
        <w:keepNext/>
      </w:pPr>
      <w:r>
        <w:rPr>
          <w:rFonts w:ascii="Times New Roman" w:hAnsi="Times New Roman"/>
          <w:color w:val="000000"/>
          <w:sz w:val="24"/>
        </w:rPr>
        <w:t>5.1.5. Estructura de la salida</w:t>
      </w:r>
    </w:p>
    <w:p>
      <w:pPr>
        <w:spacing w:after="120"/>
      </w:pPr>
      <w:r>
        <w:t>Cada consulta genera una tabla diaria con dieciocho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pPr>
        <w:spacing w:after="120"/>
      </w:pPr>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dieciocho columnas.</w:t>
      </w:r>
    </w:p>
    <w:p>
      <w:pPr>
        <w:pStyle w:val="Heading3"/>
        <w:keepNext/>
      </w:pPr>
      <w:r>
        <w:rPr>
          <w:rFonts w:ascii="Times New Roman" w:hAnsi="Times New Roman"/>
          <w:color w:val="000000"/>
          <w:sz w:val="24"/>
        </w:rPr>
        <w:t>5.1.6. Decisiones descartadas</w:t>
      </w:r>
    </w:p>
    <w:p>
      <w:pPr>
        <w:spacing w:after="120"/>
      </w:pPr>
      <w:r>
        <w:t>Durante el diseño se valoraron otras alternativas que finalmente no se incorporaron. La primera fue utilizar como motor el modelo Ridge, segundo clasificado en el apartado 4.3. Se descartó porque no superó de forma estable a la persistencia y porque su comportamiento ante un cambio de fase del cultivo resulta menos transparente que una multiplicación por el Kc. La segunda fue estimar la ET0 futura con la ecuación de Hargreaves a partir de las temperaturas previstas por AEMET. Es una opción contemplada en FAO-56 para cuando faltan variables (Allen et al., 1998), pero no se dispone de un histórico de predicciones de la campaña de 2025 con el que calibrarla, y presentar una vía no evaluada como parte del sistema habría contradicho el criterio seguido en el resto del trabajo. El motor admite una ET0 prevista como entrada para que esa vía pueda incorporarse cuando exista la evidencia. La tercera alternativa fue un balance hídrico del suelo con agotamiento admisible, que permitiría decidir no solo cuánto sino cuándo regar. Requiere capacidad de retención, profundidad radicular y riegos previos de la parcela, datos que el piloto no tiene, y se plantea como evolución en el capítulo 6.</w:t>
      </w:r>
    </w:p>
    <w:p>
      <w:pPr>
        <w:pStyle w:val="Heading2"/>
        <w:keepNext/>
        <w:pageBreakBefore w:val="0"/>
      </w:pPr>
      <w:r>
        <w:rPr>
          <w:rFonts w:ascii="Times New Roman" w:hAnsi="Times New Roman" w:eastAsia="Times New Roman"/>
          <w:b/>
          <w:i w:val="0"/>
          <w:sz w:val="28"/>
        </w:rPr>
        <w:t>5.2. Aplicación y visualización de resultados</w:t>
      </w:r>
    </w:p>
    <w:p>
      <w:pPr>
        <w:spacing w:after="120"/>
      </w:pPr>
      <w:r>
        <w:t xml:space="preserve">El motor descrito en el apartado anterior solo resulta útil si una persona puede consultarlo sin abrir el código. Para ello se han preparado dos formas de acceso que comparten exactamente la misma lógica: una ejecución por línea de comandos, pensada para automatizar consultas y archivar resultados, y una aplicación web ligera, pensada para la demostración y para el usuario que quiere explorar escenarios. Ninguna de las dos realiza cálculos propios; ambas llaman a la función de recomendación de </w:t>
      </w:r>
      <w:r>
        <w:rPr>
          <w:rFonts w:ascii="Consolas" w:hAnsi="Consolas"/>
          <w:sz w:val="19"/>
        </w:rPr>
        <w:t>src/dss/engine.py</w:t>
      </w:r>
      <w:r>
        <w:t>, de modo que lo que se ve en pantalla coincide con lo que se valida en el apartado 5.3.</w:t>
      </w:r>
    </w:p>
    <w:p>
      <w:pPr>
        <w:pStyle w:val="Heading3"/>
        <w:keepNext/>
      </w:pPr>
      <w:r>
        <w:rPr>
          <w:rFonts w:ascii="Times New Roman" w:hAnsi="Times New Roman"/>
          <w:color w:val="000000"/>
          <w:sz w:val="24"/>
        </w:rPr>
        <w:t>5.2.1. Elección de la tecnología de presentación</w:t>
      </w:r>
    </w:p>
    <w:p>
      <w:pPr>
        <w:spacing w:after="120"/>
      </w:pPr>
      <w:r>
        <w:t>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miembro del tribunal o del equipo debería poder lanzar la aplicación desde el repositorio con las mismas dependencias que el resto del proyecto.</w:t>
      </w:r>
    </w:p>
    <w:p>
      <w:pPr>
        <w:spacing w:after="120"/>
      </w:pPr>
      <w:r>
        <w:t xml:space="preserve">Por esas razones se optó por Streamlit, una librería de Python que construye la interfaz a partir de un único script y vuelve a ejecutarlo cada vez que el usuario modifica un control (Streamlit, 2024). La aplicación se encuentra en </w:t>
      </w:r>
      <w:r>
        <w:rPr>
          <w:rFonts w:ascii="Consolas" w:hAnsi="Consolas"/>
          <w:sz w:val="19"/>
        </w:rPr>
        <w:t>src/dss/app_streamlit.py</w:t>
      </w:r>
      <w:r>
        <w:t xml:space="preserve"> y se arranca desde la raíz del repositorio con </w:t>
      </w:r>
      <w:r>
        <w:rPr>
          <w:rFonts w:ascii="Consolas" w:hAnsi="Consolas"/>
          <w:sz w:val="19"/>
        </w:rPr>
        <w:t>streamlit run src/dss/app_streamlit.py</w:t>
      </w:r>
      <w:r>
        <w:t>.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pPr>
        <w:pStyle w:val="Heading3"/>
        <w:keepNext/>
      </w:pPr>
      <w:r>
        <w:rPr>
          <w:rFonts w:ascii="Times New Roman" w:hAnsi="Times New Roman"/>
          <w:color w:val="000000"/>
          <w:sz w:val="24"/>
        </w:rPr>
        <w:t>5.2.2. Organización de la interfaz</w:t>
      </w:r>
    </w:p>
    <w:p>
      <w:pPr>
        <w:spacing w:after="120"/>
      </w:pPr>
      <w:r>
        <w:t>La pantalla se divide en un panel lateral de entrada y un área principal de resultados. El panel lateral agrupa los controles en tres bloques. En el primero se muestran el cultivo y la estación del caso analizado; están bloqueados porque el piloto valida una sola combinación, aunque el texto recuerda que el motor admite otras fuentes con el mismo formato. El segundo bloque recoge la consulta: el modo de planificación o seguimiento, la fecha de emisión y el horizonte de uno a siete días. El tercero describe la parcela: el sistema de riego, la eficiencia, que se rellena con el valor orientativo del sistema pero puede modificarse, la superficie y, de manera opcional, una dotación semanal. Una casilla final permite superponer la referencia SiAR calculada a posteriori, algo que solo tiene sentido en una demostración retrospectiva como la de este trabajo.</w:t>
      </w:r>
    </w:p>
    <w:p>
      <w:pPr>
        <w:spacing w:after="120"/>
      </w:pPr>
      <w:r>
        <w:t>El área principal sigue el orden en el que un técnico suele leer una recomendación. Arriba aparecen cuatro indicadores: la necesidad neta del horizonte, la dosis bruta propuesta, el volumen estimado y el número de días con recomendación. Debajo se sitúa un gráfico de barras con la dosis bruta de cada día y la necesidad neta superpuesta, acompañado de un bloque titulado Fundamento que indica el método principal, la eficiencia aplicada, la fuente con su fecha de descarga y el último dato observado. Si existe algún aviso general, como datos desactualizados o una dotación insuficiente, se muestra en un recuadro destacado encima de los indicadores. La parte inferior contiene la tabla diaria con la confianza y los avisos, un desplegable con la explicación y las reglas aplicadas a cada día, y un botón para descargar la recomendación en CSV.</w:t>
      </w:r>
    </w:p>
    <w:p>
      <w:pPr>
        <w:spacing w:after="120"/>
      </w:pPr>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pPr>
        <w:pStyle w:val="Heading3"/>
        <w:keepNext/>
      </w:pPr>
      <w:r>
        <w:rPr>
          <w:rFonts w:ascii="Times New Roman" w:hAnsi="Times New Roman"/>
          <w:color w:val="000000"/>
          <w:sz w:val="24"/>
        </w:rPr>
        <w:t>5.2.3. Ejemplo de uso en un cambio de fase del cultivo</w:t>
      </w:r>
    </w:p>
    <w:p>
      <w:pPr>
        <w:spacing w:after="120"/>
      </w:pPr>
      <w:r>
        <w:t>Para ilustrar el funcionamiento se ha elegido una situación exigente: una planificación emitida el 28 de junio de 2025 con un horizonte de siete días, que atraviesa el paso del Kc de 0,70 a 0,90 el 1 de julio. Se considera riego por goteo con eficiencia del 90 % y una parcela de 1,5 ha. La Figura 5.2 reproduce la pantalla obtenida con la referencia SiAR superpuesta.</w:t>
      </w:r>
    </w:p>
    <w:p>
      <w:pPr>
        <w:keepNext/>
        <w:jc w:val="center"/>
      </w:pPr>
      <w:r>
        <w:drawing>
          <wp:inline xmlns:wp="http://schemas.openxmlformats.org/drawingml/2006/wordprocessingDrawing" xmlns:a="http://schemas.openxmlformats.org/drawingml/2006/main" xmlns:pic="http://schemas.openxmlformats.org/drawingml/2006/picture">
            <wp:extent cx="5577840" cy="4648200"/>
            <wp:docPr id="26" name="Picture 26"/>
            <wp:cNvGraphicFramePr>
              <a:graphicFrameLocks noChangeAspect="1"/>
            </wp:cNvGraphicFramePr>
            <a:graphic>
              <a:graphicData uri="http://schemas.openxmlformats.org/drawingml/2006/picture">
                <pic:pic>
                  <pic:nvPicPr>
                    <pic:cNvPr id="0" name="image.png"/>
                    <pic:cNvPicPr/>
                  </pic:nvPicPr>
                  <pic:blipFill>
                    <a:blip ns1:embed="rId19"/>
                    <a:stretch>
                      <a:fillRect/>
                    </a:stretch>
                  </pic:blipFill>
                  <pic:spPr>
                    <a:xfrm>
                      <a:off x="0" y="0"/>
                      <a:ext cx="5577840" cy="4648200"/>
                    </a:xfrm>
                    <a:prstGeom prst="rect"/>
                  </pic:spPr>
                </pic:pic>
              </a:graphicData>
            </a:graphic>
          </wp:inline>
        </w:drawing>
      </w:r>
    </w:p>
    <w:p>
      <w:pPr>
        <w:keepLines/>
        <w:jc w:val="center"/>
      </w:pPr>
      <w:r>
        <w:rPr>
          <w:i/>
          <w:sz w:val="20"/>
        </w:rPr>
        <w:t>Figura 5.2. Interfaz del DSS para una planificación emitida el 28 de junio de 2025, con la referencia SiAR superpuesta.</w:t>
      </w:r>
    </w:p>
    <w:p>
      <w:pPr>
        <w:spacing w:after="120"/>
      </w:pPr>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pPr>
        <w:keepNext/>
        <w:spacing w:after="120"/>
      </w:pPr>
      <w:r>
        <w:rPr>
          <w:b/>
        </w:rPr>
        <w:t>Tabla 5.2. Planificación emitida el 28 de junio de 2025 frente a la referencia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9"/>
        <w:gridCol w:w="1128"/>
        <w:gridCol w:w="1128"/>
        <w:gridCol w:w="1128"/>
        <w:gridCol w:w="1128"/>
        <w:gridCol w:w="1128"/>
        <w:gridCol w:w="1128"/>
        <w:gridCol w:w="1128"/>
      </w:tblGrid>
      <w:tr>
        <w:trPr>
          <w:tblHeader w:val="true"/>
          <w:cantSplit/>
        </w:trPr>
        <w:tc>
          <w:tcPr>
            <w:tcW w:type="dxa" w:w="1129"/>
            <w:vAlign w:val="center"/>
            <w:tcMar>
              <w:top w:w="90" w:type="dxa"/>
              <w:start w:w="100" w:type="dxa"/>
              <w:bottom w:w="90" w:type="dxa"/>
              <w:end w:w="100" w:type="dxa"/>
            </w:tcMar>
            <w:shd w:fill="1F4E78"/>
          </w:tcPr>
          <w:p>
            <w:pPr>
              <w:jc w:val="left"/>
            </w:pPr>
            <w:r>
              <w:rPr>
                <w:rFonts w:ascii="Times New Roman" w:hAnsi="Times New Roman"/>
                <w:color w:val="FFFFFF"/>
                <w:sz w:val="16"/>
                <w:b/>
              </w:rPr>
              <w:t>Fecha</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Kc</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Necesidad DSS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Persistencia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Referencia SiAR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Dosis bruta (mm)</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Volumen (m3)</w:t>
            </w:r>
          </w:p>
        </w:tc>
        <w:tc>
          <w:tcPr>
            <w:tcW w:type="dxa" w:w="1128"/>
            <w:vAlign w:val="center"/>
            <w:tcMar>
              <w:top w:w="90" w:type="dxa"/>
              <w:start w:w="100" w:type="dxa"/>
              <w:bottom w:w="90" w:type="dxa"/>
              <w:end w:w="100" w:type="dxa"/>
            </w:tcMar>
            <w:shd w:fill="1F4E78"/>
          </w:tcPr>
          <w:p>
            <w:pPr>
              <w:jc w:val="center"/>
            </w:pPr>
            <w:r>
              <w:rPr>
                <w:rFonts w:ascii="Times New Roman" w:hAnsi="Times New Roman"/>
                <w:color w:val="FFFFFF"/>
                <w:sz w:val="16"/>
                <w:b/>
              </w:rPr>
              <w:t>Confianza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28/06/2025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0,70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4,79</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4,44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5,32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media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29/06/2025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0,70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4,79</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4,17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5,32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media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30/06/2025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0,70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4,79</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4,26</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5,32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80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media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01/07/2025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5,45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02/07/2025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5,52</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03/07/2025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6,24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rPr>
              <w:t>04/07/2025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4,34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7,07</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6,84</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103</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rPr>
              <w:t>baja</w:t>
            </w:r>
          </w:p>
        </w:tc>
      </w:tr>
      <w:tr>
        <w:trPr>
          <w:cantSplit/>
        </w:trPr>
        <w:tc>
          <w:tcPr>
            <w:tcW w:type="dxa" w:w="1129"/>
            <w:vAlign w:val="center"/>
            <w:tcMar>
              <w:top w:w="90" w:type="dxa"/>
              <w:start w:w="100" w:type="dxa"/>
              <w:bottom w:w="90" w:type="dxa"/>
              <w:end w:w="100" w:type="dxa"/>
            </w:tcMar>
          </w:tcPr>
          <w:p>
            <w:pPr>
              <w:jc w:val="left"/>
            </w:pPr>
            <w:r>
              <w:rPr>
                <w:rFonts w:ascii="Times New Roman" w:hAnsi="Times New Roman"/>
                <w:color w:val="000000"/>
                <w:sz w:val="16"/>
                <w:b/>
              </w:rPr>
              <w:t>Total</w:t>
            </w:r>
          </w:p>
        </w:tc>
        <w:tc>
          <w:tcPr>
            <w:tcW w:type="dxa" w:w="1128"/>
            <w:vAlign w:val="center"/>
            <w:tcMar>
              <w:top w:w="90" w:type="dxa"/>
              <w:start w:w="100" w:type="dxa"/>
              <w:bottom w:w="90" w:type="dxa"/>
              <w:end w:w="100" w:type="dxa"/>
            </w:tcMar>
          </w:tcPr>
          <w:p>
            <w:pPr>
              <w:jc w:val="center"/>
            </w:pPr>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b/>
              </w:rPr>
              <w:t>38,96</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b/>
              </w:rPr>
              <w:t>30,38</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b/>
              </w:rPr>
              <w:t>37,15</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b/>
              </w:rPr>
              <w:t>43,29</w:t>
            </w:r>
          </w:p>
        </w:tc>
        <w:tc>
          <w:tcPr>
            <w:tcW w:type="dxa" w:w="1128"/>
            <w:vAlign w:val="center"/>
            <w:tcMar>
              <w:top w:w="90" w:type="dxa"/>
              <w:start w:w="100" w:type="dxa"/>
              <w:bottom w:w="90" w:type="dxa"/>
              <w:end w:w="100" w:type="dxa"/>
            </w:tcMar>
          </w:tcPr>
          <w:p>
            <w:pPr>
              <w:jc w:val="center"/>
            </w:pPr>
            <w:r>
              <w:rPr>
                <w:rFonts w:ascii="Times New Roman" w:hAnsi="Times New Roman"/>
                <w:color w:val="000000"/>
                <w:sz w:val="16"/>
                <w:b/>
              </w:rPr>
              <w:t>649</w:t>
            </w:r>
          </w:p>
        </w:tc>
        <w:tc>
          <w:tcPr>
            <w:tcW w:type="dxa" w:w="1128"/>
            <w:vAlign w:val="center"/>
            <w:tcMar>
              <w:top w:w="90" w:type="dxa"/>
              <w:start w:w="100" w:type="dxa"/>
              <w:bottom w:w="90" w:type="dxa"/>
              <w:end w:w="100" w:type="dxa"/>
            </w:tcMar>
          </w:tcPr>
          <w:p>
            <w:pPr>
              <w:jc w:val="center"/>
            </w:pPr>
            <w:r/>
          </w:p>
        </w:tc>
      </w:tr>
    </w:tbl>
    <w:p>
      <w:pPr>
        <w:spacing w:after="40"/>
      </w:pPr>
    </w:p>
    <w:p>
      <w:pPr>
        <w:spacing w:after="120"/>
      </w:pPr>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pPr>
        <w:spacing w:after="120"/>
      </w:pPr>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pPr>
        <w:pStyle w:val="Heading3"/>
        <w:keepNext/>
      </w:pPr>
      <w:r>
        <w:rPr>
          <w:rFonts w:ascii="Times New Roman" w:hAnsi="Times New Roman"/>
          <w:color w:val="000000"/>
          <w:sz w:val="24"/>
        </w:rPr>
        <w:t>5.2.4. Uso desde la línea de comandos</w:t>
      </w:r>
    </w:p>
    <w:p>
      <w:pPr>
        <w:spacing w:after="120"/>
      </w:pPr>
      <w:r>
        <w:t>La misma consulta puede lanzarse sin interfaz, lo que resulta útil para programar una recomendación diaria o para integrarla en otro sistema:</w:t>
      </w:r>
    </w:p>
    <w:p>
      <w:pPr>
        <w:spacing w:before="80" w:after="140"/>
        <w:ind w:left="360" w:right="216"/>
        <w:jc w:val="left"/>
        <w:shd w:fill="F2F2F2"/>
      </w:pPr>
      <w:r>
        <w:rPr>
          <w:rFonts w:ascii="Consolas" w:hAnsi="Consolas"/>
          <w:sz w:val="17"/>
        </w:rPr>
        <w:t>python -m src.dss.recommend --fecha 2025-06-28 --horizonte 7 --superficie 1.5</w:t>
      </w:r>
    </w:p>
    <w:p>
      <w:pPr>
        <w:spacing w:after="120"/>
      </w:pPr>
      <w:r>
        <w:t xml:space="preserve">El comando escribe en la consola la explicación de cada día y los totales, y guarda la tabla diaria y el resumen en </w:t>
      </w:r>
      <w:r>
        <w:rPr>
          <w:rFonts w:ascii="Consolas" w:hAnsi="Consolas"/>
          <w:sz w:val="19"/>
        </w:rPr>
        <w:t>results/reports</w:t>
      </w:r>
      <w:r>
        <w:t xml:space="preserve"> en formato CSV y JSON. Los argumentos opcionales permiten indicar otro sistema de riego, una eficiencia propia, una dotación semanal, el modo de seguimiento o un archivo con ET0 o lluvia prevista. El ejemplo de la Tabla 5.2 se conserva también como muestra versionada en </w:t>
      </w:r>
      <w:r>
        <w:rPr>
          <w:rFonts w:ascii="Consolas" w:hAnsi="Consolas"/>
          <w:sz w:val="19"/>
        </w:rPr>
        <w:t>docs/data_samples/dss_recommendation_example_5_2.csv</w:t>
      </w:r>
      <w:r>
        <w:t>.</w:t>
      </w:r>
    </w:p>
    <w:p>
      <w:pPr>
        <w:pStyle w:val="Heading3"/>
        <w:keepNext/>
      </w:pPr>
      <w:r>
        <w:rPr>
          <w:rFonts w:ascii="Times New Roman" w:hAnsi="Times New Roman"/>
          <w:color w:val="000000"/>
          <w:sz w:val="24"/>
        </w:rPr>
        <w:t>5.2.5. Visualización de la campaña</w:t>
      </w:r>
    </w:p>
    <w:p>
      <w:pPr>
        <w:spacing w:after="120"/>
      </w:pPr>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pPr>
        <w:pStyle w:val="Heading3"/>
        <w:keepNext/>
      </w:pPr>
      <w:r>
        <w:rPr>
          <w:rFonts w:ascii="Times New Roman" w:hAnsi="Times New Roman"/>
          <w:color w:val="000000"/>
          <w:sz w:val="24"/>
        </w:rPr>
        <w:t>5.2.6. Limitaciones de la aplicación</w:t>
      </w:r>
    </w:p>
    <w:p>
      <w:pPr>
        <w:spacing w:after="120"/>
      </w:pPr>
      <w:r>
        <w:t>La aplicación es un prototipo de demostración. No dispone de usuarios ni de control de acceso, no guarda un histórico de consultas por parcela y lee la fuente desde un archivo local en lugar de una base de datos. Tampoco descarga por sí misma la predicción de AEMET; la vía de ET0 prevista está implementada en el motor y se ha probado con datos de ejemplo, pero la interfaz trabaja con la vía por defecto. Estas carencias no impiden demostrar el funcionamiento del sistema, aunque sí condicionan su uso real. Por último, la interfaz no se ha evaluado con agricultores ni técnicos. La literatura señala que la facilidad de uso y la relevancia percibida son determinantes para que una herramienta de este tipo se adopte (Rose et al., 2016), por lo que esa evaluación con usuarios se considera un paso necesario antes de cualquier despliegue.</w:t>
      </w:r>
    </w:p>
    <w:p>
      <w:pPr>
        <w:pStyle w:val="Heading2"/>
        <w:keepNext/>
        <w:pageBreakBefore w:val="0"/>
      </w:pPr>
      <w:r>
        <w:rPr>
          <w:rFonts w:ascii="Times New Roman" w:hAnsi="Times New Roman" w:eastAsia="Times New Roman"/>
          <w:b/>
          <w:i w:val="0"/>
          <w:sz w:val="28"/>
        </w:rPr>
        <w:t>5.3. Validación, resultados y análisis crítico</w:t>
      </w:r>
    </w:p>
    <w:p>
      <w:pPr>
        <w:spacing w:after="120"/>
      </w:pPr>
      <w:r>
        <w:t xml:space="preserve">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w:t>
      </w:r>
      <w:r>
        <w:rPr>
          <w:rFonts w:ascii="Consolas" w:hAnsi="Consolas"/>
          <w:sz w:val="19"/>
        </w:rPr>
        <w:t>src/analysis/build_validation_5_3.py</w:t>
      </w:r>
      <w:r>
        <w:t>, que las regenera a partir del CSV oficial del piloto.</w:t>
      </w:r>
    </w:p>
    <w:p>
      <w:pPr>
        <w:spacing w:after="120"/>
      </w:pPr>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pPr>
        <w:pStyle w:val="Heading3"/>
        <w:keepNext/>
      </w:pPr>
      <w:r>
        <w:rPr>
          <w:rFonts w:ascii="Times New Roman" w:hAnsi="Times New Roman"/>
          <w:color w:val="000000"/>
          <w:sz w:val="24"/>
        </w:rPr>
        <w:t>5.3.1. Fidelidad de la vía agronómica</w:t>
      </w:r>
    </w:p>
    <w:p>
      <w:pPr>
        <w:spacing w:after="120"/>
      </w:pPr>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pPr>
        <w:spacing w:after="120"/>
      </w:pPr>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pPr>
        <w:pStyle w:val="Heading3"/>
        <w:keepNext/>
      </w:pPr>
      <w:r>
        <w:rPr>
          <w:rFonts w:ascii="Times New Roman" w:hAnsi="Times New Roman"/>
          <w:color w:val="000000"/>
          <w:sz w:val="24"/>
        </w:rPr>
        <w:t>5.3.2. Selección de la ventana de ET0</w:t>
      </w:r>
    </w:p>
    <w:p>
      <w:pPr>
        <w:spacing w:after="120"/>
      </w:pPr>
      <w:r>
        <w:t>La vía por defecto del sistema promedia la ET0 de los días anteriores. Antes de fijar la longitud de esa ventana se evaluaron cinco alternativas, de uno a catorce días, simulando emisiones diarias con horizontes de uno a siete días. Para mantener la coherencia con el capítulo 4, se utilizó como prueba el mismo tramo reservado, del 8 al 30 de septiembre, y la selección se hizo únicamente con el periodo de desarrollo. Como criterio se fijó, antes de calcular los resultados, elegir la ventana más corta cuyo error no superase al mínimo en más de un 1 %, porque una ventana corta reacciona antes ante un cambio de tiempo.</w:t>
      </w:r>
    </w:p>
    <w:p>
      <w:pPr>
        <w:keepNext/>
        <w:spacing w:after="120"/>
      </w:pPr>
      <w:r>
        <w:rPr>
          <w:b/>
        </w:rPr>
        <w:t>Tabla 5.3. MAE medio de los horizontes 1 a 7 según la ventana de ET0 (mm/día).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8"/>
        <w:gridCol w:w="3008"/>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color w:val="FFFFFF"/>
                <w:sz w:val="16"/>
                <w:b/>
              </w:rPr>
              <w:t>Ventana</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Desarrollo</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Prueba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1 día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0,517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0,127</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3 días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0,494</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0,110</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5 días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0,484</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0,101</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7 días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b/>
              </w:rPr>
              <w:t>0,471</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b/>
              </w:rPr>
              <w:t>0,101</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14 días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0,469</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0,124</w:t>
            </w:r>
          </w:p>
        </w:tc>
      </w:tr>
    </w:tbl>
    <w:p>
      <w:pPr>
        <w:spacing w:after="40"/>
      </w:pPr>
    </w:p>
    <w:p>
      <w:pPr>
        <w:spacing w:after="120"/>
      </w:pPr>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pPr>
        <w:pStyle w:val="Heading3"/>
        <w:keepNext/>
      </w:pPr>
      <w:r>
        <w:rPr>
          <w:rFonts w:ascii="Times New Roman" w:hAnsi="Times New Roman"/>
          <w:color w:val="000000"/>
          <w:sz w:val="24"/>
        </w:rPr>
        <w:t>5.3.3. Error de la recomendación a un día</w:t>
      </w:r>
    </w:p>
    <w:p>
      <w:pPr>
        <w:spacing w:after="120"/>
      </w:pPr>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pPr>
        <w:keepNext/>
        <w:spacing w:after="120"/>
      </w:pPr>
      <w:r>
        <w:rPr>
          <w:b/>
        </w:rPr>
        <w:t>Tabla 5.4. Error de la recomendación a un día frente a la referencia SiAR.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5"/>
        <w:gridCol w:w="1504"/>
        <w:gridCol w:w="1504"/>
        <w:gridCol w:w="1504"/>
        <w:gridCol w:w="1504"/>
        <w:gridCol w:w="1504"/>
      </w:tblGrid>
      <w:tr>
        <w:trPr>
          <w:tblHeader w:val="true"/>
          <w:cantSplit/>
        </w:trPr>
        <w:tc>
          <w:tcPr>
            <w:tcW w:type="dxa" w:w="1505"/>
            <w:vAlign w:val="center"/>
            <w:tcMar>
              <w:top w:w="90" w:type="dxa"/>
              <w:start w:w="100" w:type="dxa"/>
              <w:bottom w:w="90" w:type="dxa"/>
              <w:end w:w="100" w:type="dxa"/>
            </w:tcMar>
            <w:shd w:fill="1F4E78"/>
          </w:tcPr>
          <w:p>
            <w:pPr>
              <w:jc w:val="left"/>
            </w:pPr>
            <w:r>
              <w:rPr>
                <w:rFonts w:ascii="Times New Roman" w:hAnsi="Times New Roman"/>
                <w:color w:val="FFFFFF"/>
                <w:sz w:val="16"/>
                <w:b/>
              </w:rPr>
              <w:t>Periodo</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Enfoque</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Días</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MAE (mm)</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RMSE (mm)</w:t>
            </w:r>
          </w:p>
        </w:tc>
        <w:tc>
          <w:tcPr>
            <w:tcW w:type="dxa" w:w="1504"/>
            <w:vAlign w:val="center"/>
            <w:tcMar>
              <w:top w:w="90" w:type="dxa"/>
              <w:start w:w="100" w:type="dxa"/>
              <w:bottom w:w="90" w:type="dxa"/>
              <w:end w:w="100" w:type="dxa"/>
            </w:tcMar>
            <w:shd w:fill="1F4E78"/>
          </w:tcPr>
          <w:p>
            <w:pPr>
              <w:jc w:val="center"/>
            </w:pPr>
            <w:r>
              <w:rPr>
                <w:rFonts w:ascii="Times New Roman" w:hAnsi="Times New Roman"/>
                <w:color w:val="FFFFFF"/>
                <w:sz w:val="16"/>
                <w:b/>
              </w:rPr>
              <w:t>Sesgo (mm)</w:t>
            </w:r>
          </w:p>
        </w:tc>
      </w:tr>
      <w:tr>
        <w:trPr>
          <w:cantSplit/>
        </w:trPr>
        <w:tc>
          <w:tcPr>
            <w:tcW w:type="dxa" w:w="1505"/>
            <w:vAlign w:val="center"/>
            <w:tcMar>
              <w:top w:w="90" w:type="dxa"/>
              <w:start w:w="100" w:type="dxa"/>
              <w:bottom w:w="90" w:type="dxa"/>
              <w:end w:w="100" w:type="dxa"/>
            </w:tcMar>
          </w:tcPr>
          <w:p>
            <w:pPr>
              <w:jc w:val="left"/>
            </w:pPr>
            <w:r>
              <w:rPr>
                <w:rFonts w:ascii="Times New Roman" w:hAnsi="Times New Roman"/>
                <w:color w:val="000000"/>
                <w:sz w:val="16"/>
              </w:rPr>
              <w:t>Desarrollo</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DSS (ET0 reciente × Kc)</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124</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0,417</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0,583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0,044</w:t>
            </w:r>
          </w:p>
        </w:tc>
      </w:tr>
      <w:tr>
        <w:trPr>
          <w:cantSplit/>
        </w:trPr>
        <w:tc>
          <w:tcPr>
            <w:tcW w:type="dxa" w:w="1505"/>
            <w:vAlign w:val="center"/>
            <w:tcMar>
              <w:top w:w="90" w:type="dxa"/>
              <w:start w:w="100" w:type="dxa"/>
              <w:bottom w:w="90" w:type="dxa"/>
              <w:end w:w="100" w:type="dxa"/>
            </w:tcMar>
          </w:tcPr>
          <w:p>
            <w:pPr>
              <w:jc w:val="left"/>
            </w:pPr>
            <w:r>
              <w:rPr>
                <w:rFonts w:ascii="Times New Roman" w:hAnsi="Times New Roman"/>
                <w:color w:val="000000"/>
                <w:sz w:val="16"/>
              </w:rPr>
              <w:t>Desarrollo</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Persistencia</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124</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0,449</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0,710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0,012</w:t>
            </w:r>
          </w:p>
        </w:tc>
      </w:tr>
      <w:tr>
        <w:trPr>
          <w:cantSplit/>
        </w:trPr>
        <w:tc>
          <w:tcPr>
            <w:tcW w:type="dxa" w:w="1505"/>
            <w:vAlign w:val="center"/>
            <w:tcMar>
              <w:top w:w="90" w:type="dxa"/>
              <w:start w:w="100" w:type="dxa"/>
              <w:bottom w:w="90" w:type="dxa"/>
              <w:end w:w="100" w:type="dxa"/>
            </w:tcMar>
          </w:tcPr>
          <w:p>
            <w:pPr>
              <w:jc w:val="left"/>
            </w:pPr>
            <w:r>
              <w:rPr>
                <w:rFonts w:ascii="Times New Roman" w:hAnsi="Times New Roman"/>
                <w:color w:val="000000"/>
                <w:sz w:val="16"/>
              </w:rPr>
              <w:t>Prueba</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DSS (ET0 reciente × Kc)</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0,090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b/>
              </w:rPr>
              <w:t>0,113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0,047</w:t>
            </w:r>
          </w:p>
        </w:tc>
      </w:tr>
      <w:tr>
        <w:trPr>
          <w:cantSplit/>
        </w:trPr>
        <w:tc>
          <w:tcPr>
            <w:tcW w:type="dxa" w:w="1505"/>
            <w:vAlign w:val="center"/>
            <w:tcMar>
              <w:top w:w="90" w:type="dxa"/>
              <w:start w:w="100" w:type="dxa"/>
              <w:bottom w:w="90" w:type="dxa"/>
              <w:end w:w="100" w:type="dxa"/>
            </w:tcMar>
          </w:tcPr>
          <w:p>
            <w:pPr>
              <w:jc w:val="left"/>
            </w:pPr>
            <w:r>
              <w:rPr>
                <w:rFonts w:ascii="Times New Roman" w:hAnsi="Times New Roman"/>
                <w:color w:val="000000"/>
                <w:sz w:val="16"/>
              </w:rPr>
              <w:t>Prueba</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Persistencia</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23</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0,120</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0,156</w:t>
            </w:r>
          </w:p>
        </w:tc>
        <w:tc>
          <w:tcPr>
            <w:tcW w:type="dxa" w:w="1504"/>
            <w:vAlign w:val="center"/>
            <w:tcMar>
              <w:top w:w="90" w:type="dxa"/>
              <w:start w:w="100" w:type="dxa"/>
              <w:bottom w:w="90" w:type="dxa"/>
              <w:end w:w="100" w:type="dxa"/>
            </w:tcMar>
          </w:tcPr>
          <w:p>
            <w:pPr>
              <w:jc w:val="center"/>
            </w:pPr>
            <w:r>
              <w:rPr>
                <w:rFonts w:ascii="Times New Roman" w:hAnsi="Times New Roman"/>
                <w:color w:val="000000"/>
                <w:sz w:val="16"/>
              </w:rPr>
              <w:t>0,000</w:t>
            </w:r>
          </w:p>
        </w:tc>
      </w:tr>
    </w:tbl>
    <w:p>
      <w:pPr>
        <w:spacing w:after="40"/>
      </w:pPr>
    </w:p>
    <w:p>
      <w:pPr>
        <w:spacing w:after="120"/>
      </w:pPr>
      <w:r>
        <w:t>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4.10, porque aquí se evalúan todas las emisiones del periodo y no tres cortes de validación.</w:t>
      </w:r>
    </w:p>
    <w:p>
      <w:pPr>
        <w:keepNext/>
        <w:jc w:val="center"/>
      </w:pPr>
      <w:r>
        <w:drawing>
          <wp:inline xmlns:wp="http://schemas.openxmlformats.org/drawingml/2006/wordprocessingDrawing" xmlns:a="http://schemas.openxmlformats.org/drawingml/2006/main" xmlns:pic="http://schemas.openxmlformats.org/drawingml/2006/picture">
            <wp:extent cx="5577840" cy="3442602"/>
            <wp:docPr id="27" name="Picture 27"/>
            <wp:cNvGraphicFramePr>
              <a:graphicFrameLocks noChangeAspect="1"/>
            </wp:cNvGraphicFramePr>
            <a:graphic>
              <a:graphicData uri="http://schemas.openxmlformats.org/drawingml/2006/picture">
                <pic:pic>
                  <pic:nvPicPr>
                    <pic:cNvPr id="0" name="image.png"/>
                    <pic:cNvPicPr/>
                  </pic:nvPicPr>
                  <pic:blipFill>
                    <a:blip ns1:embed="rId20"/>
                    <a:stretch>
                      <a:fillRect/>
                    </a:stretch>
                  </pic:blipFill>
                  <pic:spPr>
                    <a:xfrm>
                      <a:off x="0" y="0"/>
                      <a:ext cx="5577840" cy="3442602"/>
                    </a:xfrm>
                    <a:prstGeom prst="rect"/>
                  </pic:spPr>
                </pic:pic>
              </a:graphicData>
            </a:graphic>
          </wp:inline>
        </w:drawing>
      </w:r>
    </w:p>
    <w:p>
      <w:pPr>
        <w:keepLines/>
        <w:jc w:val="center"/>
      </w:pPr>
      <w:r>
        <w:rPr>
          <w:i/>
          <w:sz w:val="20"/>
        </w:rPr>
        <w:t>Figura 5.3. Recomendaciones emitidas cada día con la información del día anterior y error frente a la referencia SiAR.</w:t>
      </w:r>
    </w:p>
    <w:p>
      <w:pPr>
        <w:spacing w:after="120"/>
      </w:pPr>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pPr>
        <w:spacing w:after="120"/>
      </w:pPr>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pPr>
        <w:pStyle w:val="Heading3"/>
        <w:keepNext/>
      </w:pPr>
      <w:r>
        <w:rPr>
          <w:rFonts w:ascii="Times New Roman" w:hAnsi="Times New Roman"/>
          <w:color w:val="000000"/>
          <w:sz w:val="24"/>
        </w:rPr>
        <w:t>5.3.4. Error según el horizonte de planificación</w:t>
      </w:r>
    </w:p>
    <w:p>
      <w:pPr>
        <w:spacing w:after="120"/>
      </w:pPr>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w:t>
      </w:r>
    </w:p>
    <w:p>
      <w:pPr>
        <w:keepNext/>
        <w:jc w:val="center"/>
      </w:pPr>
      <w:r>
        <w:drawing>
          <wp:inline xmlns:wp="http://schemas.openxmlformats.org/drawingml/2006/wordprocessingDrawing" xmlns:a="http://schemas.openxmlformats.org/drawingml/2006/main" xmlns:pic="http://schemas.openxmlformats.org/drawingml/2006/picture">
            <wp:extent cx="5577840" cy="1981650"/>
            <wp:docPr id="28" name="Picture 28"/>
            <wp:cNvGraphicFramePr>
              <a:graphicFrameLocks noChangeAspect="1"/>
            </wp:cNvGraphicFramePr>
            <a:graphic>
              <a:graphicData uri="http://schemas.openxmlformats.org/drawingml/2006/picture">
                <pic:pic>
                  <pic:nvPicPr>
                    <pic:cNvPr id="0" name="image.png"/>
                    <pic:cNvPicPr/>
                  </pic:nvPicPr>
                  <pic:blipFill>
                    <a:blip ns1:embed="rId21"/>
                    <a:stretch>
                      <a:fillRect/>
                    </a:stretch>
                  </pic:blipFill>
                  <pic:spPr>
                    <a:xfrm>
                      <a:off x="0" y="0"/>
                      <a:ext cx="5577840" cy="1981650"/>
                    </a:xfrm>
                    <a:prstGeom prst="rect"/>
                  </pic:spPr>
                </pic:pic>
              </a:graphicData>
            </a:graphic>
          </wp:inline>
        </w:drawing>
      </w:r>
    </w:p>
    <w:p>
      <w:pPr>
        <w:keepLines/>
        <w:jc w:val="center"/>
      </w:pPr>
      <w:r>
        <w:rPr>
          <w:i/>
          <w:sz w:val="20"/>
        </w:rPr>
        <w:t>Figura 5.4. MAE diario según el día del horizonte en los periodos de desarrollo y prueba.</w:t>
      </w:r>
    </w:p>
    <w:p>
      <w:pPr>
        <w:keepNext/>
        <w:spacing w:after="120"/>
      </w:pPr>
      <w:r>
        <w:rPr>
          <w:b/>
        </w:rPr>
        <w:t>Tabla 5.5. MAE diario según el día del horizonte (mm/día).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5"/>
        <w:gridCol w:w="1805"/>
        <w:gridCol w:w="1805"/>
        <w:gridCol w:w="1805"/>
        <w:gridCol w:w="1805"/>
      </w:tblGrid>
      <w:tr>
        <w:trPr>
          <w:tblHeader w:val="true"/>
          <w:cantSplit/>
        </w:trPr>
        <w:tc>
          <w:tcPr>
            <w:tcW w:type="dxa" w:w="1805"/>
            <w:vAlign w:val="center"/>
            <w:tcMar>
              <w:top w:w="90" w:type="dxa"/>
              <w:start w:w="100" w:type="dxa"/>
              <w:bottom w:w="90" w:type="dxa"/>
              <w:end w:w="100" w:type="dxa"/>
            </w:tcMar>
            <w:shd w:fill="1F4E78"/>
          </w:tcPr>
          <w:p>
            <w:pPr>
              <w:jc w:val="left"/>
            </w:pPr>
            <w:r>
              <w:rPr>
                <w:rFonts w:ascii="Times New Roman" w:hAnsi="Times New Roman"/>
                <w:color w:val="FFFFFF"/>
                <w:sz w:val="16"/>
                <w:b/>
              </w:rPr>
              <w:t>Día del horizonte</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Persistencia, desarrollo</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DSS, desarrollo</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Persistencia, prueba</w:t>
            </w:r>
          </w:p>
        </w:tc>
        <w:tc>
          <w:tcPr>
            <w:tcW w:type="dxa" w:w="1805"/>
            <w:vAlign w:val="center"/>
            <w:tcMar>
              <w:top w:w="90" w:type="dxa"/>
              <w:start w:w="100" w:type="dxa"/>
              <w:bottom w:w="90" w:type="dxa"/>
              <w:end w:w="100" w:type="dxa"/>
            </w:tcMar>
            <w:shd w:fill="1F4E78"/>
          </w:tcPr>
          <w:p>
            <w:pPr>
              <w:jc w:val="center"/>
            </w:pPr>
            <w:r>
              <w:rPr>
                <w:rFonts w:ascii="Times New Roman" w:hAnsi="Times New Roman"/>
                <w:color w:val="FFFFFF"/>
                <w:sz w:val="16"/>
                <w:b/>
              </w:rPr>
              <w:t>DSS, prueba</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0,467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0,435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0,120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0,090</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0,613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0,469</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0,115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0,092</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0,652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0,476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0,130</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0,084</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4</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0,702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0,477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0,122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0,092</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5</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0,754</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0,481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0,132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0,101</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0,813</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0,482</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0,141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0,122</w:t>
            </w:r>
          </w:p>
        </w:tc>
      </w:tr>
      <w:tr>
        <w:trPr>
          <w:cantSplit/>
        </w:trPr>
        <w:tc>
          <w:tcPr>
            <w:tcW w:type="dxa" w:w="1805"/>
            <w:vAlign w:val="center"/>
            <w:tcMar>
              <w:top w:w="90" w:type="dxa"/>
              <w:start w:w="100" w:type="dxa"/>
              <w:bottom w:w="90" w:type="dxa"/>
              <w:end w:w="100" w:type="dxa"/>
            </w:tcMar>
          </w:tcPr>
          <w:p>
            <w:pPr>
              <w:jc w:val="left"/>
            </w:pPr>
            <w:r>
              <w:rPr>
                <w:rFonts w:ascii="Times New Roman" w:hAnsi="Times New Roman"/>
                <w:color w:val="000000"/>
                <w:sz w:val="16"/>
              </w:rPr>
              <w:t>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0,871</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0,477</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0,126</w:t>
            </w:r>
          </w:p>
        </w:tc>
        <w:tc>
          <w:tcPr>
            <w:tcW w:type="dxa" w:w="1805"/>
            <w:vAlign w:val="center"/>
            <w:tcMar>
              <w:top w:w="90" w:type="dxa"/>
              <w:start w:w="100" w:type="dxa"/>
              <w:bottom w:w="90" w:type="dxa"/>
              <w:end w:w="100" w:type="dxa"/>
            </w:tcMar>
          </w:tcPr>
          <w:p>
            <w:pPr>
              <w:jc w:val="center"/>
            </w:pPr>
            <w:r>
              <w:rPr>
                <w:rFonts w:ascii="Times New Roman" w:hAnsi="Times New Roman"/>
                <w:color w:val="000000"/>
                <w:sz w:val="16"/>
              </w:rPr>
              <w:t>0,134</w:t>
            </w:r>
          </w:p>
        </w:tc>
      </w:tr>
    </w:tbl>
    <w:p>
      <w:pPr>
        <w:spacing w:after="40"/>
      </w:pPr>
    </w:p>
    <w:p>
      <w:pPr>
        <w:spacing w:after="120"/>
      </w:pPr>
      <w:r>
        <w:t>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pPr>
        <w:spacing w:after="120"/>
      </w:pPr>
      <w:r>
        <w:t>Estos resultados justifican tres decisiones del diseño. La primera es ofrecer horizontes de hasta siete días, puesto que el error se mantiene acotado y nunca empeora de manera brusca. La segunda es asignar confianza baja a partir del cuarto día, porque es a partir de ahí cuando el comportamiento empieza a depender de la evolución del tiempo. La tercera es mostrar en cada día el error esperado de la tabla anterior mediante la regla R9, en lugar de presentar una semana entera con la misma apariencia de certeza. Una mejora real en los horizontes largos requiere una ET0 prevista, cuya vía ya está preparada en el motor.</w:t>
      </w:r>
    </w:p>
    <w:p>
      <w:pPr>
        <w:pStyle w:val="Heading3"/>
        <w:keepNext/>
      </w:pPr>
      <w:r>
        <w:rPr>
          <w:rFonts w:ascii="Times New Roman" w:hAnsi="Times New Roman"/>
          <w:color w:val="000000"/>
          <w:sz w:val="24"/>
        </w:rPr>
        <w:t>5.3.5. Coherencia semanal</w:t>
      </w:r>
    </w:p>
    <w:p>
      <w:pPr>
        <w:spacing w:after="120"/>
      </w:pPr>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pPr>
        <w:keepNext/>
        <w:jc w:val="center"/>
      </w:pPr>
      <w:r>
        <w:drawing>
          <wp:inline xmlns:wp="http://schemas.openxmlformats.org/drawingml/2006/wordprocessingDrawing" xmlns:a="http://schemas.openxmlformats.org/drawingml/2006/main" xmlns:pic="http://schemas.openxmlformats.org/drawingml/2006/picture">
            <wp:extent cx="5577840" cy="1981650"/>
            <wp:docPr id="29" name="Picture 29"/>
            <wp:cNvGraphicFramePr>
              <a:graphicFrameLocks noChangeAspect="1"/>
            </wp:cNvGraphicFramePr>
            <a:graphic>
              <a:graphicData uri="http://schemas.openxmlformats.org/drawingml/2006/picture">
                <pic:pic>
                  <pic:nvPicPr>
                    <pic:cNvPr id="0" name="image.png"/>
                    <pic:cNvPicPr/>
                  </pic:nvPicPr>
                  <pic:blipFill>
                    <a:blip ns1:embed="rId22"/>
                    <a:stretch>
                      <a:fillRect/>
                    </a:stretch>
                  </pic:blipFill>
                  <pic:spPr>
                    <a:xfrm>
                      <a:off x="0" y="0"/>
                      <a:ext cx="5577840" cy="1981650"/>
                    </a:xfrm>
                    <a:prstGeom prst="rect"/>
                  </pic:spPr>
                </pic:pic>
              </a:graphicData>
            </a:graphic>
          </wp:inline>
        </w:drawing>
      </w:r>
    </w:p>
    <w:p>
      <w:pPr>
        <w:keepLines/>
        <w:jc w:val="center"/>
      </w:pPr>
      <w:r>
        <w:rPr>
          <w:i/>
          <w:sz w:val="20"/>
        </w:rPr>
        <w:t>Figura 5.5. Necesidad neta semanal planificada por el DSS frente a la referencia SiAR y dosis bruta para riego por goteo.</w:t>
      </w:r>
    </w:p>
    <w:p>
      <w:pPr>
        <w:spacing w:after="120"/>
      </w:pPr>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pPr>
        <w:spacing w:after="120"/>
      </w:pPr>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pPr>
        <w:pStyle w:val="Heading3"/>
        <w:keepNext/>
      </w:pPr>
      <w:r>
        <w:rPr>
          <w:rFonts w:ascii="Times New Roman" w:hAnsi="Times New Roman"/>
          <w:color w:val="000000"/>
          <w:sz w:val="24"/>
        </w:rPr>
        <w:t>5.3.6. Sensibilidad a la eficiencia del riego</w:t>
      </w:r>
    </w:p>
    <w:p>
      <w:pPr>
        <w:spacing w:after="120"/>
      </w:pPr>
      <w:r>
        <w:t>La eficiencia es el parámetro que más modifica la cantidad de agua propuesta, y es también el más difícil de conocer con precisión. Aplicada sobre la necesidad neta de toda la campaña, la diferencia entre sistemas resulta considerable.</w:t>
      </w:r>
    </w:p>
    <w:p>
      <w:pPr>
        <w:keepNext/>
        <w:spacing w:after="120"/>
      </w:pPr>
      <w:r>
        <w:rPr>
          <w:b/>
        </w:rPr>
        <w:t>Tabla 5.6. Dosis bruta de la campaña según el sistema de riego.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57"/>
        <w:gridCol w:w="2256"/>
        <w:gridCol w:w="2256"/>
        <w:gridCol w:w="2256"/>
      </w:tblGrid>
      <w:tr>
        <w:trPr>
          <w:tblHeader w:val="true"/>
          <w:cantSplit/>
        </w:trPr>
        <w:tc>
          <w:tcPr>
            <w:tcW w:type="dxa" w:w="2257"/>
            <w:vAlign w:val="center"/>
            <w:tcMar>
              <w:top w:w="90" w:type="dxa"/>
              <w:start w:w="100" w:type="dxa"/>
              <w:bottom w:w="90" w:type="dxa"/>
              <w:end w:w="100" w:type="dxa"/>
            </w:tcMar>
            <w:shd w:fill="1F4E78"/>
          </w:tcPr>
          <w:p>
            <w:pPr>
              <w:jc w:val="left"/>
            </w:pPr>
            <w:r>
              <w:rPr>
                <w:rFonts w:ascii="Times New Roman" w:hAnsi="Times New Roman"/>
                <w:color w:val="FFFFFF"/>
                <w:sz w:val="16"/>
                <w:b/>
              </w:rPr>
              <w:t>Sistema</w:t>
            </w:r>
          </w:p>
        </w:tc>
        <w:tc>
          <w:tcPr>
            <w:tcW w:type="dxa" w:w="2256"/>
            <w:vAlign w:val="center"/>
            <w:tcMar>
              <w:top w:w="90" w:type="dxa"/>
              <w:start w:w="100" w:type="dxa"/>
              <w:bottom w:w="90" w:type="dxa"/>
              <w:end w:w="100" w:type="dxa"/>
            </w:tcMar>
            <w:shd w:fill="1F4E78"/>
          </w:tcPr>
          <w:p>
            <w:pPr>
              <w:jc w:val="center"/>
            </w:pPr>
            <w:r>
              <w:rPr>
                <w:rFonts w:ascii="Times New Roman" w:hAnsi="Times New Roman"/>
                <w:color w:val="FFFFFF"/>
                <w:sz w:val="16"/>
                <w:b/>
              </w:rPr>
              <w:t>Eficiencia</w:t>
            </w:r>
          </w:p>
        </w:tc>
        <w:tc>
          <w:tcPr>
            <w:tcW w:type="dxa" w:w="2256"/>
            <w:vAlign w:val="center"/>
            <w:tcMar>
              <w:top w:w="90" w:type="dxa"/>
              <w:start w:w="100" w:type="dxa"/>
              <w:bottom w:w="90" w:type="dxa"/>
              <w:end w:w="100" w:type="dxa"/>
            </w:tcMar>
            <w:shd w:fill="1F4E78"/>
          </w:tcPr>
          <w:p>
            <w:pPr>
              <w:jc w:val="center"/>
            </w:pPr>
            <w:r>
              <w:rPr>
                <w:rFonts w:ascii="Times New Roman" w:hAnsi="Times New Roman"/>
                <w:color w:val="FFFFFF"/>
                <w:sz w:val="16"/>
                <w:b/>
              </w:rPr>
              <w:t>Dosis bruta (mm)</w:t>
            </w:r>
          </w:p>
        </w:tc>
        <w:tc>
          <w:tcPr>
            <w:tcW w:type="dxa" w:w="2256"/>
            <w:vAlign w:val="center"/>
            <w:tcMar>
              <w:top w:w="90" w:type="dxa"/>
              <w:start w:w="100" w:type="dxa"/>
              <w:bottom w:w="90" w:type="dxa"/>
              <w:end w:w="100" w:type="dxa"/>
            </w:tcMar>
            <w:shd w:fill="1F4E78"/>
          </w:tcPr>
          <w:p>
            <w:pPr>
              <w:jc w:val="center"/>
            </w:pPr>
            <w:r>
              <w:rPr>
                <w:rFonts w:ascii="Times New Roman" w:hAnsi="Times New Roman"/>
                <w:color w:val="FFFFFF"/>
                <w:sz w:val="16"/>
                <w:b/>
              </w:rPr>
              <w:t>Volumen (m3/ha)</w:t>
            </w:r>
          </w:p>
        </w:tc>
      </w:tr>
      <w:tr>
        <w:trPr>
          <w:cantSplit/>
        </w:trPr>
        <w:tc>
          <w:tcPr>
            <w:tcW w:type="dxa" w:w="2257"/>
            <w:vAlign w:val="center"/>
            <w:tcMar>
              <w:top w:w="90" w:type="dxa"/>
              <w:start w:w="100" w:type="dxa"/>
              <w:bottom w:w="90" w:type="dxa"/>
              <w:end w:w="100" w:type="dxa"/>
            </w:tcMar>
          </w:tcPr>
          <w:p>
            <w:pPr>
              <w:jc w:val="left"/>
            </w:pPr>
            <w:r>
              <w:rPr>
                <w:rFonts w:ascii="Times New Roman" w:hAnsi="Times New Roman"/>
                <w:color w:val="000000"/>
                <w:sz w:val="16"/>
              </w:rPr>
              <w:t>Goteo</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0,90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590,1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5.901</w:t>
            </w:r>
          </w:p>
        </w:tc>
      </w:tr>
      <w:tr>
        <w:trPr>
          <w:cantSplit/>
        </w:trPr>
        <w:tc>
          <w:tcPr>
            <w:tcW w:type="dxa" w:w="2257"/>
            <w:vAlign w:val="center"/>
            <w:tcMar>
              <w:top w:w="90" w:type="dxa"/>
              <w:start w:w="100" w:type="dxa"/>
              <w:bottom w:w="90" w:type="dxa"/>
              <w:end w:w="100" w:type="dxa"/>
            </w:tcMar>
          </w:tcPr>
          <w:p>
            <w:pPr>
              <w:jc w:val="left"/>
            </w:pPr>
            <w:r>
              <w:rPr>
                <w:rFonts w:ascii="Times New Roman" w:hAnsi="Times New Roman"/>
                <w:color w:val="000000"/>
                <w:sz w:val="16"/>
              </w:rPr>
              <w:t>Aspersión</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0,75</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708,1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7.081</w:t>
            </w:r>
          </w:p>
        </w:tc>
      </w:tr>
      <w:tr>
        <w:trPr>
          <w:cantSplit/>
        </w:trPr>
        <w:tc>
          <w:tcPr>
            <w:tcW w:type="dxa" w:w="2257"/>
            <w:vAlign w:val="center"/>
            <w:tcMar>
              <w:top w:w="90" w:type="dxa"/>
              <w:start w:w="100" w:type="dxa"/>
              <w:bottom w:w="90" w:type="dxa"/>
              <w:end w:w="100" w:type="dxa"/>
            </w:tcMar>
          </w:tcPr>
          <w:p>
            <w:pPr>
              <w:jc w:val="left"/>
            </w:pPr>
            <w:r>
              <w:rPr>
                <w:rFonts w:ascii="Times New Roman" w:hAnsi="Times New Roman"/>
                <w:color w:val="000000"/>
                <w:sz w:val="16"/>
              </w:rPr>
              <w:t>Superficie</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0,60</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885,1</w:t>
            </w:r>
          </w:p>
        </w:tc>
        <w:tc>
          <w:tcPr>
            <w:tcW w:type="dxa" w:w="2256"/>
            <w:vAlign w:val="center"/>
            <w:tcMar>
              <w:top w:w="90" w:type="dxa"/>
              <w:start w:w="100" w:type="dxa"/>
              <w:bottom w:w="90" w:type="dxa"/>
              <w:end w:w="100" w:type="dxa"/>
            </w:tcMar>
          </w:tcPr>
          <w:p>
            <w:pPr>
              <w:jc w:val="center"/>
            </w:pPr>
            <w:r>
              <w:rPr>
                <w:rFonts w:ascii="Times New Roman" w:hAnsi="Times New Roman"/>
                <w:color w:val="000000"/>
                <w:sz w:val="16"/>
              </w:rPr>
              <w:t>8.851</w:t>
            </w:r>
          </w:p>
        </w:tc>
      </w:tr>
    </w:tbl>
    <w:p>
      <w:pPr>
        <w:spacing w:after="40"/>
      </w:pPr>
    </w:p>
    <w:p>
      <w:pPr>
        <w:spacing w:after="120"/>
      </w:pPr>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pPr>
        <w:pStyle w:val="Heading3"/>
        <w:keepNext/>
      </w:pPr>
      <w:r>
        <w:rPr>
          <w:rFonts w:ascii="Times New Roman" w:hAnsi="Times New Roman"/>
          <w:color w:val="000000"/>
          <w:sz w:val="24"/>
        </w:rPr>
        <w:t>5.3.7. Escenarios de robustez y trazabilidad</w:t>
      </w:r>
    </w:p>
    <w:p>
      <w:pPr>
        <w:spacing w:after="120"/>
      </w:pPr>
      <w:r>
        <w:t xml:space="preserve">El último bloque de la validación sometió al sistema a situaciones en las que una recomendación incorrecta podría causar daños o confusión. Se definieron trece escenarios con un comportamiento esperado fijado de antemano; los resultados se guardan en </w:t>
      </w:r>
      <w:r>
        <w:rPr>
          <w:rFonts w:ascii="Consolas" w:hAnsi="Consolas"/>
          <w:sz w:val="19"/>
        </w:rPr>
        <w:t>docs/data_samples/dss_scenarios_5_3.csv</w:t>
      </w:r>
      <w:r>
        <w:t xml:space="preserve"> y se resumen en la Tabla 5.7.</w:t>
      </w:r>
    </w:p>
    <w:p>
      <w:pPr>
        <w:keepNext/>
        <w:spacing w:after="120"/>
      </w:pPr>
      <w:r>
        <w:rPr>
          <w:b/>
        </w:rPr>
        <w:t>Tabla 5.7. Escenarios de validación del comportamiento del sistema.</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8"/>
        <w:gridCol w:w="3008"/>
      </w:tblGrid>
      <w:tr>
        <w:trPr>
          <w:tblHeader w:val="true"/>
          <w:cantSplit/>
        </w:trPr>
        <w:tc>
          <w:tcPr>
            <w:tcW w:type="dxa" w:w="3009"/>
            <w:vAlign w:val="center"/>
            <w:tcMar>
              <w:top w:w="90" w:type="dxa"/>
              <w:start w:w="100" w:type="dxa"/>
              <w:bottom w:w="90" w:type="dxa"/>
              <w:end w:w="100" w:type="dxa"/>
            </w:tcMar>
            <w:shd w:fill="1F4E78"/>
          </w:tcPr>
          <w:p>
            <w:pPr>
              <w:jc w:val="left"/>
            </w:pPr>
            <w:r>
              <w:rPr>
                <w:rFonts w:ascii="Times New Roman" w:hAnsi="Times New Roman"/>
                <w:color w:val="FFFFFF"/>
                <w:sz w:val="16"/>
                <w:b/>
              </w:rPr>
              <w:t>Escenario</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Comportamiento esperado</w:t>
            </w:r>
          </w:p>
        </w:tc>
        <w:tc>
          <w:tcPr>
            <w:tcW w:type="dxa" w:w="3008"/>
            <w:vAlign w:val="center"/>
            <w:tcMar>
              <w:top w:w="90" w:type="dxa"/>
              <w:start w:w="100" w:type="dxa"/>
              <w:bottom w:w="90" w:type="dxa"/>
              <w:end w:w="100" w:type="dxa"/>
            </w:tcMar>
            <w:shd w:fill="1F4E78"/>
          </w:tcPr>
          <w:p>
            <w:pPr>
              <w:jc w:val="center"/>
            </w:pPr>
            <w:r>
              <w:rPr>
                <w:rFonts w:ascii="Times New Roman" w:hAnsi="Times New Roman"/>
                <w:color w:val="FFFFFF"/>
                <w:sz w:val="16"/>
                <w:b/>
              </w:rPr>
              <w:t>Resultado observado</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Lluvia observada superior a la ETc (23/05)</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Dosis nula, nunca negativa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Necesidad de 0,00 mm por la regla R4</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Lluvia prevista de 12 mm con probabilidad del 80 %</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sin descuento automático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recomienda aplazar y la dosis no cambia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Cinco fechas sin meteorología (18 a 22/07)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Sustitución explícita y aviso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usa la ET0 reciente, con aviso en cada día</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Emisión el 21/07 con el último dato del 17/07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general y confianza baja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antigüedad y confianza baja en todo el horizonte</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ET0 prevista de 11,5 mm</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Aviso de extrapolación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Se marca como extrapolación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Fechas posteriores al ciclo (1 y 2/10)</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Sin recomendación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No se emite dosis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Primer día de campaña sin histórico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Sin recomendación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No se emite dosis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Eficiencia 1,4, horizonte de 10 días, superficie negativa, sistema desconocido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Rechazo con mensaje</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Las cuatro entradas se rechazan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Dotación de 20 mm frente a 47,1 mm planificados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Reducción proporcional y aviso</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Factor de 0,42 y total de 20 mm</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Eficiencias de 0,60 a 1,00</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Dosis decreciente con la eficiencia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70,7, 56,6, 47,1 y 42,4 mm semanales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Coherencia entre día, semana y volumen</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Sumas consistentes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Coinciden dosis y volumen</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Trazabilidad de cada fila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Origen y reglas registrados</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Método, reglas, archivo y fecha presentes</w:t>
            </w:r>
          </w:p>
        </w:tc>
      </w:tr>
      <w:tr>
        <w:trPr>
          <w:cantSplit/>
        </w:trPr>
        <w:tc>
          <w:tcPr>
            <w:tcW w:type="dxa" w:w="3009"/>
            <w:vAlign w:val="center"/>
            <w:tcMar>
              <w:top w:w="90" w:type="dxa"/>
              <w:start w:w="100" w:type="dxa"/>
              <w:bottom w:w="90" w:type="dxa"/>
              <w:end w:w="100" w:type="dxa"/>
            </w:tcMar>
          </w:tcPr>
          <w:p>
            <w:pPr>
              <w:jc w:val="left"/>
            </w:pPr>
            <w:r>
              <w:rPr>
                <w:rFonts w:ascii="Times New Roman" w:hAnsi="Times New Roman"/>
                <w:color w:val="000000"/>
                <w:sz w:val="16"/>
              </w:rPr>
              <w:t>Cambio de Kc de 0,70 a 0,90 (01/07)</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El calendario corrige la persistencia</w:t>
            </w:r>
          </w:p>
        </w:tc>
        <w:tc>
          <w:tcPr>
            <w:tcW w:type="dxa" w:w="3008"/>
            <w:vAlign w:val="center"/>
            <w:tcMar>
              <w:top w:w="90" w:type="dxa"/>
              <w:start w:w="100" w:type="dxa"/>
              <w:bottom w:w="90" w:type="dxa"/>
              <w:end w:w="100" w:type="dxa"/>
            </w:tcMar>
          </w:tcPr>
          <w:p>
            <w:pPr>
              <w:jc w:val="center"/>
            </w:pPr>
            <w:r>
              <w:rPr>
                <w:rFonts w:ascii="Times New Roman" w:hAnsi="Times New Roman"/>
                <w:color w:val="000000"/>
                <w:sz w:val="16"/>
              </w:rPr>
              <w:t>Error de 0,35 mm frente a 1,19 mm</w:t>
            </w:r>
          </w:p>
        </w:tc>
      </w:tr>
    </w:tbl>
    <w:p>
      <w:pPr>
        <w:spacing w:after="40"/>
      </w:pPr>
    </w:p>
    <w:p>
      <w:pPr>
        <w:spacing w:after="120"/>
      </w:pPr>
      <w:r>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pPr>
        <w:spacing w:after="120"/>
      </w:pPr>
      <w:r>
        <w:t xml:space="preserve">Las comprobaciones de la Tabla 5.7 se complementan con quince pruebas automáticas en </w:t>
      </w:r>
      <w:r>
        <w:rPr>
          <w:rFonts w:ascii="Consolas" w:hAnsi="Consolas"/>
          <w:sz w:val="19"/>
        </w:rPr>
        <w:t>tests/test_dss_engine.py</w:t>
      </w:r>
      <w:r>
        <w:t>, que se suman a las cuarenta existentes para las fases anteriores. Entre otras cosas, verifican que la planificación no cambia si se alteran los datos posteriores a la fecha de emisión, que es la garantía formal de que el sistema no utiliza información futura.</w:t>
      </w:r>
    </w:p>
    <w:p>
      <w:pPr>
        <w:pStyle w:val="Heading3"/>
        <w:keepNext/>
      </w:pPr>
      <w:r>
        <w:rPr>
          <w:rFonts w:ascii="Times New Roman" w:hAnsi="Times New Roman"/>
          <w:color w:val="000000"/>
          <w:sz w:val="24"/>
        </w:rPr>
        <w:t>5.3.8. Rendimiento operativo</w:t>
      </w:r>
    </w:p>
    <w:p>
      <w:pPr>
        <w:spacing w:after="120"/>
      </w:pPr>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pPr>
        <w:pStyle w:val="Heading3"/>
        <w:keepNext/>
      </w:pPr>
      <w:r>
        <w:rPr>
          <w:rFonts w:ascii="Times New Roman" w:hAnsi="Times New Roman"/>
          <w:color w:val="000000"/>
          <w:sz w:val="24"/>
        </w:rPr>
        <w:t>5.3.9. Análisis crítico</w:t>
      </w:r>
    </w:p>
    <w:p>
      <w:pPr>
        <w:spacing w:after="120"/>
      </w:pPr>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pPr>
        <w:spacing w:after="120"/>
      </w:pPr>
      <w:r>
        <w:t>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septiembre, es atípico: tiene un Kc muy bajo, necesidades cercanas a un milímetro y una ET0 en descenso, por lo que sus errores absolutos son pequeños y poco representativos del verano.</w:t>
      </w:r>
    </w:p>
    <w:p>
      <w:pPr>
        <w:spacing w:after="120"/>
      </w:pPr>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pPr>
        <w:spacing w:after="120"/>
      </w:pPr>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pPr>
        <w:pStyle w:val="Heading3"/>
        <w:keepNext/>
      </w:pPr>
      <w:r>
        <w:rPr>
          <w:rFonts w:ascii="Times New Roman" w:hAnsi="Times New Roman"/>
          <w:color w:val="000000"/>
          <w:sz w:val="24"/>
        </w:rPr>
        <w:t>5.3.10. Reproducibilidad y evidencias</w:t>
      </w:r>
    </w:p>
    <w:p>
      <w:pPr>
        <w:spacing w:after="120"/>
      </w:pPr>
      <w:r>
        <w:t>Las cifras, tablas y figuras de este capítulo se regeneran con:</w:t>
      </w:r>
    </w:p>
    <w:p>
      <w:pPr>
        <w:spacing w:before="80" w:after="140"/>
        <w:ind w:left="360" w:right="216"/>
        <w:jc w:val="left"/>
        <w:shd w:fill="F2F2F2"/>
      </w:pPr>
      <w:r>
        <w:rPr>
          <w:rFonts w:ascii="Consolas" w:hAnsi="Consolas"/>
          <w:sz w:val="17"/>
        </w:rPr>
        <w:t>python -m src.analysis.build_validation_5_3</w:t>
      </w:r>
    </w:p>
    <w:p>
      <w:pPr>
        <w:spacing w:before="80" w:after="140"/>
        <w:ind w:left="360" w:right="216"/>
        <w:jc w:val="left"/>
        <w:shd w:fill="F2F2F2"/>
      </w:pPr>
      <w:r>
        <w:rPr>
          <w:rFonts w:ascii="Consolas" w:hAnsi="Consolas"/>
          <w:sz w:val="17"/>
        </w:rPr>
        <w:t>python -m src.visualization.build_dss_visual</w:t>
      </w:r>
    </w:p>
    <w:p>
      <w:pPr>
        <w:spacing w:before="80" w:after="140"/>
        <w:ind w:left="360" w:right="216"/>
        <w:jc w:val="left"/>
        <w:shd w:fill="F2F2F2"/>
      </w:pPr>
      <w:r>
        <w:rPr>
          <w:rFonts w:ascii="Consolas" w:hAnsi="Consolas"/>
          <w:sz w:val="17"/>
        </w:rPr>
        <w:t>python -m unittest discover -s tests</w:t>
      </w:r>
    </w:p>
    <w:p>
      <w:pPr>
        <w:spacing w:after="120"/>
      </w:pPr>
      <w:r>
        <w:t>El primer comando produce el informe completo (</w:t>
      </w:r>
      <w:r>
        <w:rPr>
          <w:rFonts w:ascii="Consolas" w:hAnsi="Consolas"/>
          <w:sz w:val="19"/>
        </w:rPr>
        <w:t>docs/data_samples/dss_validation_5_3.json</w:t>
      </w:r>
      <w:r>
        <w:t>), los errores por horizonte (</w:t>
      </w:r>
      <w:r>
        <w:rPr>
          <w:rFonts w:ascii="Consolas" w:hAnsi="Consolas"/>
          <w:sz w:val="19"/>
        </w:rPr>
        <w:t>dss_horizon_errors_5_3.csv</w:t>
      </w:r>
      <w:r>
        <w:t>), los escenarios (</w:t>
      </w:r>
      <w:r>
        <w:rPr>
          <w:rFonts w:ascii="Consolas" w:hAnsi="Consolas"/>
          <w:sz w:val="19"/>
        </w:rPr>
        <w:t>dss_scenarios_5_3.csv</w:t>
      </w:r>
      <w:r>
        <w:t xml:space="preserve">), el ejemplo del apartado 5.2 y las Figuras 5.3, 5.4 y 5.5. El segundo genera la Figura 5.1 y el tercero ejecuta las cincuenta y cinco pruebas automáticas del proyecto. La captura de la Figura 5.2 se obtiene arrancando la aplicación con </w:t>
      </w:r>
      <w:r>
        <w:rPr>
          <w:rFonts w:ascii="Consolas" w:hAnsi="Consolas"/>
          <w:sz w:val="19"/>
        </w:rPr>
        <w:t>streamlit run src/dss/app_streamlit.py</w:t>
      </w:r>
      <w:r>
        <w:t xml:space="preserve"> y abriendo la dirección local con los parámetros </w:t>
      </w:r>
      <w:r>
        <w:rPr>
          <w:rFonts w:ascii="Consolas" w:hAnsi="Consolas"/>
          <w:sz w:val="19"/>
        </w:rPr>
        <w:t>?fecha=2025-06-28&amp;referencia=1</w:t>
      </w:r>
      <w:r>
        <w:t>.</w:t>
      </w:r>
    </w:p>
    <w:p>
      <w:pPr>
        <w:pStyle w:val="Heading1"/>
      </w:pPr>
      <w:r>
        <w:t>6. Conclusiones</w:t>
      </w:r>
    </w:p>
    <w:p>
      <w:pPr>
        <w:pStyle w:val="Heading2"/>
      </w:pPr>
      <w:r>
        <w:t>6.1. Cumplimiento de objetivos y aportaciones</w:t>
      </w:r>
    </w:p>
    <w:p>
      <w:pPr>
        <w:pStyle w:val="Heading2"/>
      </w:pPr>
      <w:r>
        <w:t>6.2. Limitaciones e impacto del proyecto</w:t>
      </w:r>
    </w:p>
    <w:p>
      <w:pPr>
        <w:pStyle w:val="Heading2"/>
      </w:pPr>
      <w:r>
        <w:t>6.3. Mejoras y líneas futuras</w:t>
      </w:r>
    </w:p>
    <w:p>
      <w:r>
        <w:br w:type="page"/>
      </w:r>
    </w:p>
    <w:p>
      <w:pPr>
        <w:pStyle w:val="Heading1"/>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Brouwer, C., Prins, K., &amp; Heibloem, M. (1989). </w:t>
      </w:r>
      <w:r>
        <w:rPr>
          <w:i/>
        </w:rPr>
        <w:t>Irrigation water management: Irrigation scheduling</w:t>
      </w:r>
      <w:r>
        <w:rPr>
          <w:i w:val="0"/>
        </w:rPr>
        <w:t xml:space="preserve"> (Training manual No. 4). Food and Agriculture Organization of the United Nations. https://www.fao.org/4/t7202e/t7202e00.htm</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Hyndman, R. J., &amp; Athanasopoulos, G. (2021). </w:t>
      </w:r>
      <w:r>
        <w:rPr>
          <w:i/>
        </w:rPr>
        <w:t>Forecasting: Principles and practice</w:t>
      </w:r>
      <w:r>
        <w:rPr>
          <w:i w:val="0"/>
        </w:rPr>
        <w:t xml:space="preserve"> (3.ª ed.). OTexts. https://otexts.com/fpp3/</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rPr>
          <w:i w:val="0"/>
        </w:rPr>
        <w:t xml:space="preserve">Streamlit. (2024). </w:t>
      </w:r>
      <w:r>
        <w:rPr>
          <w:i/>
        </w:rPr>
        <w:t>Streamlit</w:t>
      </w:r>
      <w:r>
        <w:rPr>
          <w:i w:val="0"/>
        </w:rPr>
        <w:t xml:space="preserve"> (Versión 1.39.0) [Software]. https://streamlit.io</w:t>
      </w:r>
    </w:p>
    <w:p>
      <w:pPr>
        <w:pStyle w:val="BibliografíaAPA"/>
      </w:pPr>
      <w:r>
        <w:rPr>
          <w:i w:val="0"/>
        </w:rPr>
        <w:t xml:space="preserve">Willmott, C. J., &amp; Matsuura, K. (2005). Advantages of the mean absolute error (MAE) over the root mean square error (RMSE) in assessing average model performance. </w:t>
      </w:r>
      <w:r>
        <w:rPr>
          <w:i/>
        </w:rPr>
        <w:t>Climate Research, 30</w:t>
      </w:r>
      <w:r>
        <w:rPr>
          <w:i w:val="0"/>
        </w:rPr>
        <w:t>(1), 79–82. https://doi.org/10.3354/cr030079</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ns1: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