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1="http://schemas.openxmlformats.org/officeDocument/2006/relationships" xmlns:w="http://schemas.openxmlformats.org/wordprocessingml/2006/main">
  <w:body>
    <w:p>
      <w:pPr>
        <w:pStyle w:val="Title"/>
      </w:pPr>
      <w:r>
        <w:t>Sistema inteligente de apoyo a la decisión para la gestión hídrica agrícola</w:t>
      </w:r>
    </w:p>
    <w:p>
      <w:pPr>
        <w:spacing w:after="360"/>
        <w:jc w:val="center"/>
      </w:pPr>
      <w:r>
        <w:rPr>
          <w:i/>
        </w:rPr>
        <w:t>Trabajo Fin de Máster en Data Science</w:t>
      </w:r>
    </w:p>
    <w:p>
      <w:pPr>
        <w:pStyle w:val="Heading1"/>
      </w:pPr>
      <w:r>
        <w:t>1. Introducción y objetivos</w:t>
      </w:r>
    </w:p>
    <w:p>
      <w:pPr>
        <w:pStyle w:val="Heading2"/>
      </w:pPr>
      <w:r>
        <w:t>1.1. Contexto, motivación y justificación</w:t>
      </w:r>
    </w:p>
    <w:p>
      <w:pPr>
        <w:widowControl/>
        <w:ind w:firstLine="709"/>
      </w:pPr>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pPr>
        <w:widowControl/>
        <w:ind w:firstLine="709"/>
      </w:pPr>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pPr>
        <w:widowControl/>
        <w:ind w:firstLine="709"/>
      </w:pPr>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pPr>
        <w:widowControl/>
        <w:ind w:firstLine="709"/>
      </w:pPr>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pPr>
        <w:widowControl/>
        <w:ind w:firstLine="709"/>
      </w:pPr>
      <w:r>
        <w:t>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pPr>
        <w:widowControl/>
        <w:ind w:firstLine="709"/>
      </w:pPr>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pPr>
        <w:widowControl/>
        <w:ind w:firstLine="709"/>
      </w:pPr>
      <w:r>
        <w:t>A partir de este contexto, el presente Trabajo Fin de Máster plantea el desarrollo de un sistema inteligente de apoyo a la decisión para la gestión hídrica agrícola. La propuesta busca integrar en un flujo reproducible variables meteorológicas y ambientales, información relativa al tipo de cultivo y su localización, antecedentes de necesidades de riego e indicadores sobre la disponibilidad de recursos hídricos. La finalidad es estimar la demanda de riego en horizontes operativos y presentar el resultado mediante una interfaz que facilite la interpretación por agricultores, cooperativas y responsables de explotaciones.</w:t>
      </w:r>
    </w:p>
    <w:p>
      <w:pPr>
        <w:widowControl/>
        <w:ind w:firstLine="709"/>
      </w:pPr>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pPr>
        <w:widowControl/>
        <w:ind w:firstLine="709"/>
      </w:pPr>
      <w:r>
        <w:t>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alcance realista y verificable para un Trabajo Fin de Máster (Real Decreto 854/2022, 2022).</w:t>
      </w:r>
    </w:p>
    <w:p>
      <w:pPr>
        <w:pStyle w:val="Heading2"/>
      </w:pPr>
      <w:r>
        <w:t>1.2. Objetivos generales y específicos</w:t>
      </w:r>
    </w:p>
    <w:p>
      <w:pPr>
        <w:keepLines w:val="0"/>
        <w:widowControl/>
        <w:ind w:firstLine="709"/>
        <w:jc w:val="both"/>
      </w:pPr>
      <w:r>
        <w:rPr>
          <w:b/>
        </w:rPr>
        <w:t xml:space="preserve">Objetivo general. </w:t>
      </w:r>
      <w:r>
        <w:t>El objetivo general del presente Trabajo Fin de Máster es diseñar, implementar y evaluar un sistema inteligente de apoyo a la decisión para la gestión hídrica agrícola que integre datos meteorológicos, ambientales, agronómicos e hidrológicos, estime las necesidades de riego de los cultivos y las transforme en recomendaciones operativas, trazables y comprensibles para las localizaciones incluidas en el alcance del estudio.</w:t>
      </w:r>
    </w:p>
    <w:p>
      <w:pPr>
        <w:keepLines w:val="0"/>
        <w:widowControl/>
        <w:ind w:firstLine="709"/>
        <w:jc w:val="both"/>
      </w:pPr>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pPr>
        <w:keepLines w:val="0"/>
        <w:widowControl/>
        <w:ind w:firstLine="709"/>
        <w:jc w:val="both"/>
      </w:pPr>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pPr>
        <w:keepLines w:val="0"/>
        <w:widowControl/>
        <w:ind w:firstLine="709"/>
        <w:jc w:val="both"/>
      </w:pPr>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pPr>
        <w:keepLines w:val="0"/>
        <w:widowControl/>
        <w:ind w:firstLine="709"/>
        <w:jc w:val="both"/>
      </w:pPr>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pPr>
        <w:keepLines w:val="0"/>
        <w:widowControl/>
        <w:ind w:firstLine="709"/>
        <w:jc w:val="both"/>
      </w:pPr>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pPr>
        <w:keepLines w:val="0"/>
        <w:widowControl/>
        <w:ind w:firstLine="709"/>
        <w:jc w:val="both"/>
      </w:pPr>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pPr>
        <w:keepLines w:val="0"/>
        <w:widowControl/>
        <w:ind w:firstLine="709"/>
        <w:jc w:val="both"/>
      </w:pPr>
      <w:r>
        <w:t>El trabajo también contempla implementar un prototipo de aplicación o panel de visualización que presente las variables relevantes, las predicciones y las recomendaciones de forma clara para agricultores, cooperativas y responsables de explotaciones.</w:t>
      </w:r>
    </w:p>
    <w:p>
      <w:pPr>
        <w:keepLines w:val="0"/>
        <w:widowControl/>
        <w:ind w:firstLine="709"/>
        <w:jc w:val="both"/>
      </w:pPr>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pPr>
        <w:pStyle w:val="Heading2"/>
      </w:pPr>
      <w:r>
        <w:t>1.3. Alcance, usuarios y limitaciones</w:t>
      </w:r>
    </w:p>
    <w:p>
      <w:pPr>
        <w:keepLines w:val="0"/>
        <w:widowControl/>
        <w:ind w:firstLine="709"/>
        <w:jc w:val="both"/>
      </w:pPr>
      <w:r>
        <w:t>El trabajo se plantea como una prueba de concepto de un sistema de apoyo a la decisión y abarca el ciclo completo que conecta la adquisición de datos con la presentación de una recomendación de riego. El desarrollo comprende la integración y depuración de la información, el análisis exploratorio, la construcción y comparación de modelos predictivos, la definición de una lógica de recomendación y la implementación de un prototipo de visualización. La aplicación empírica se limitará a una región o cuenca seleccionada y a un conjunto de cultivos hortofrutícolas para los que exista información histórica suficiente y comparable; por tanto, los resultados no se considerarán directamente extrapolables a cualquier cultivo o territorio.</w:t>
      </w:r>
    </w:p>
    <w:p>
      <w:pPr>
        <w:keepLines w:val="0"/>
        <w:widowControl/>
        <w:ind w:firstLine="709"/>
        <w:jc w:val="both"/>
      </w:pPr>
      <w:r>
        <w:t>Las fuentes principales previstas son AEMET OpenData para las observaciones y predicciones meteorológicas, el Sistema de Información Agroclimática para el Regadío (SiAR) para los datos procedentes de estaciones agrometeorológicas y los productos oficiales sobre reservas y estado de los recursos hídricos. AEMET OpenData actúa como sistema de difusión y reutilización de la información meteorológica, mientras que SiAR ofrece información agroclimática orientada a la planificación del riego. Para contextualizar la disponibilidad de agua podrán incorporarse los datos agregados del Boletín Hidrológico semanal, siempre que su escala espacial y temporal sea compatible con el caso de estudio (Agencia Estatal de Meteorología [AEMET], s. f.; Ministerio de Agricultura, Pesca y Alimentación [MAPA], s. f.; Ministerio para la Transición Ecológica y el Reto Demográfico [MITECO], s. f.).</w:t>
      </w:r>
    </w:p>
    <w:p>
      <w:pPr>
        <w:keepLines w:val="0"/>
        <w:widowControl/>
        <w:ind w:firstLine="709"/>
        <w:jc w:val="both"/>
      </w:pPr>
      <w:r>
        <w:t>El horizonte operativo será diario o semanal, en función de la frecuencia y continuidad de los datos disponibles. La salida principal consistirá en una estimación de la necesidad de riego y en una recomendación interpretable sobre la conveniencia, el momento y la cantidad de agua que debe aplicarse. La conversión de una lámina de riego a un volumen por parcela solo se realizará cuando se disponga de la superficie cultivada y de información suficiente sobre la eficiencia del sistema de aplicación. El prototipo no accionará bombas, válvulas ni programadores y tampoco constituirá un sistema de control en tiempo real de circuito cerrado.</w:t>
      </w:r>
    </w:p>
    <w:p>
      <w:pPr>
        <w:keepLines w:val="0"/>
        <w:widowControl/>
        <w:ind w:firstLine="709"/>
        <w:jc w:val="both"/>
      </w:pPr>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pPr>
        <w:keepLines w:val="0"/>
        <w:widowControl/>
        <w:ind w:firstLine="709"/>
        <w:jc w:val="both"/>
      </w:pPr>
      <w:r>
        <w:t>La interacción prevista permitirá seleccionar la localización y el tipo de cultivo, consultar las variables de entrada más relevantes, visualizar la estimación obtenida y conocer los elementos que sustentan la recomendación. La decisión final permanecerá en manos del usuario, que deberá contrastarla con el estado real de la parcela, la fase fenológica, las restricciones de la explotación y su conocimiento agronómico. En consecuencia, la salida del sistema no tendrá carácter normativo, contractual ni certificador y no sustituirá las indicaciones de un profesional cualificado.</w:t>
      </w:r>
    </w:p>
    <w:p>
      <w:pPr>
        <w:keepLines w:val="0"/>
        <w:widowControl/>
        <w:ind w:firstLine="709"/>
        <w:jc w:val="both"/>
      </w:pPr>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pPr>
        <w:keepLines w:val="0"/>
        <w:widowControl/>
        <w:ind w:firstLine="709"/>
        <w:jc w:val="both"/>
      </w:pPr>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pPr>
        <w:keepLines w:val="0"/>
        <w:widowControl/>
        <w:ind w:firstLine="709"/>
        <w:jc w:val="both"/>
      </w:pPr>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pPr>
        <w:pStyle w:val="Heading1"/>
      </w:pPr>
      <w:r>
        <w:t>2. Marco teórico y estado del arte</w:t>
      </w:r>
    </w:p>
    <w:p>
      <w:pPr>
        <w:pStyle w:val="Heading2"/>
      </w:pPr>
      <w:r>
        <w:t>2.1. Necesidades hídricas y gestión eficiente del riego</w:t>
      </w:r>
    </w:p>
    <w:p>
      <w:pPr>
        <w:keepLines w:val="0"/>
        <w:widowControl/>
        <w:ind w:firstLine="709"/>
        <w:jc w:val="both"/>
      </w:pPr>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pPr>
        <w:keepLines w:val="0"/>
        <w:widowControl/>
        <w:ind w:firstLine="709"/>
        <w:jc w:val="both"/>
      </w:pPr>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pPr>
        <w:keepLines w:val="0"/>
        <w:widowControl/>
        <w:ind w:firstLine="709"/>
        <w:jc w:val="both"/>
      </w:pPr>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pPr>
        <w:keepLines w:val="0"/>
        <w:widowControl/>
        <w:ind w:firstLine="709"/>
        <w:jc w:val="both"/>
      </w:pPr>
      <w:r>
        <w:t>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transpiración y el rendimiento; una dosis excesiva puede aumentar la escorrentía, la percolación profunda, el lavado de nutrientes o los problemas de aireación del suelo (Allen et al., 1998).</w:t>
      </w:r>
    </w:p>
    <w:p>
      <w:pPr>
        <w:keepLines w:val="0"/>
        <w:widowControl/>
        <w:ind w:firstLine="709"/>
        <w:jc w:val="both"/>
      </w:pPr>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pPr>
        <w:keepLines w:val="0"/>
        <w:widowControl/>
        <w:ind w:firstLine="709"/>
        <w:jc w:val="both"/>
      </w:pPr>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pPr>
        <w:keepLines w:val="0"/>
        <w:widowControl/>
        <w:ind w:firstLine="709"/>
        <w:jc w:val="both"/>
      </w:pPr>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pPr>
        <w:keepLines w:val="0"/>
        <w:widowControl/>
        <w:ind w:firstLine="709"/>
        <w:jc w:val="both"/>
      </w:pPr>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pPr>
        <w:keepLines w:val="0"/>
        <w:widowControl/>
        <w:ind w:firstLine="709"/>
        <w:jc w:val="both"/>
      </w:pPr>
      <w:r>
        <w:t>Estos fundamentos proporcionan la referencia agronómica sobre la que debe construirse el sistema propuesto en este TFM. Los datos meteorológicos permiten estimar la demanda evaporativa; el cultivo y su fase de desarrollo ajustan esa demanda; la precipitación y el estado hídrico del suelo determinan la necesidad neta; y las características del sistema de riego permiten convertirla en una dosis bruta. Los modelos de aprendizaje automático podrán capturar relaciones adicionales o mejorar la predicción, pero sus resultados deberán mantener coherencia con el balance hídrico y compararse con esta referencia. La evaluación de la solución deberá combinar el error predictivo con indicadores de aplicación, uniformidad y productividad del agua cuando los datos disponibles lo permitan, sin equiparar automáticamente una recomendación menor con un ahorro efectivo (Allen et al., 1998; Burt et al., 1997; Howell, 2001).</w:t>
      </w:r>
    </w:p>
    <w:p>
      <w:pPr>
        <w:pStyle w:val="Heading2"/>
      </w:pPr>
      <w:r>
        <w:t>2.2. Agricultura de precisión y Machine Learning</w:t>
      </w:r>
    </w:p>
    <w:p>
      <w:pPr>
        <w:spacing w:after="0"/>
        <w:ind w:firstLine="709"/>
        <w:jc w:val="both"/>
      </w:pPr>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pPr>
        <w:spacing w:after="0"/>
        <w:ind w:firstLine="709"/>
        <w:jc w:val="both"/>
      </w:pPr>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pPr>
        <w:spacing w:after="0"/>
        <w:ind w:firstLine="709"/>
        <w:jc w:val="both"/>
      </w:pPr>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pPr>
        <w:spacing w:after="0"/>
        <w:ind w:firstLine="709"/>
        <w:jc w:val="both"/>
      </w:pPr>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pPr>
        <w:spacing w:after="0"/>
        <w:ind w:firstLine="709"/>
        <w:jc w:val="both"/>
      </w:pPr>
      <w:r>
        <w:t>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pPr>
        <w:spacing w:after="0"/>
        <w:ind w:firstLine="709"/>
        <w:jc w:val="both"/>
      </w:pPr>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pPr>
        <w:spacing w:after="0"/>
        <w:ind w:firstLine="709"/>
        <w:jc w:val="both"/>
      </w:pPr>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pPr>
        <w:spacing w:after="0"/>
        <w:ind w:firstLine="709"/>
        <w:jc w:val="both"/>
      </w:pPr>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pPr>
        <w:spacing w:after="0"/>
        <w:ind w:firstLine="709"/>
        <w:jc w:val="both"/>
      </w:pPr>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pPr>
        <w:spacing w:after="0"/>
        <w:ind w:firstLine="709"/>
        <w:jc w:val="both"/>
      </w:pPr>
      <w:r>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pPr>
        <w:pStyle w:val="Heading2"/>
      </w:pPr>
      <w:r>
        <w:t>2.3. Sistemas inteligentes de apoyo a la decisión</w:t>
      </w:r>
    </w:p>
    <w:p>
      <w:pPr>
        <w:spacing w:after="0"/>
        <w:ind w:firstLine="709"/>
        <w:jc w:val="both"/>
      </w:pPr>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pPr>
        <w:spacing w:after="0"/>
        <w:ind w:firstLine="709"/>
        <w:jc w:val="both"/>
      </w:pPr>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pPr>
        <w:spacing w:after="0"/>
        <w:ind w:firstLine="709"/>
        <w:jc w:val="both"/>
      </w:pPr>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pPr>
        <w:spacing w:after="0"/>
        <w:ind w:firstLine="709"/>
        <w:jc w:val="both"/>
      </w:pPr>
      <w:r>
        <w:t>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pPr>
        <w:spacing w:after="0"/>
        <w:ind w:firstLine="709"/>
        <w:jc w:val="both"/>
      </w:pPr>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pPr>
        <w:spacing w:after="0"/>
        <w:ind w:firstLine="709"/>
        <w:jc w:val="both"/>
      </w:pPr>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pPr>
        <w:spacing w:after="0"/>
        <w:ind w:firstLine="709"/>
        <w:jc w:val="both"/>
      </w:pPr>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pPr>
        <w:spacing w:after="0"/>
        <w:ind w:firstLine="709"/>
        <w:jc w:val="both"/>
      </w:pPr>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pPr>
        <w:spacing w:after="0"/>
        <w:ind w:firstLine="709"/>
        <w:jc w:val="both"/>
      </w:pPr>
      <w:r>
        <w:t>En este TFM, el sistema de apoyo a la decisión conectará las fuentes meteorológicas, agrometeorológicas e hidrológicas definidas en el alcance con la referencia agronómica del 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pPr>
        <w:pStyle w:val="Heading1"/>
      </w:pPr>
      <w:r>
        <w:t>3. Metodología y arquitectura del sistema</w:t>
      </w:r>
    </w:p>
    <w:p>
      <w:pPr>
        <w:pStyle w:val="Heading2"/>
      </w:pPr>
      <w:r>
        <w:t>3.1. Fuentes, variables y calidad de los datos</w:t>
      </w:r>
    </w:p>
    <w:p>
      <w:pPr>
        <w:spacing w:after="120"/>
      </w:pPr>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pPr>
        <w:spacing w:after="120"/>
      </w:pPr>
      <w:r>
        <w:t xml:space="preserve">El producto se ha diseñado para que el usuario seleccione ubicación, cultivo y periodo. Esos parámetros determinan la estación SiAR, el municipio AEMET, el calendario de cultivo y los datos que se consultan. Para validar el flujo se fija un piloto reproducible de pimiento al aire libre en Almería, estación </w:t>
      </w:r>
      <w:r>
        <w:rPr>
          <w:rFonts w:ascii="Consolas" w:hAnsi="Consolas"/>
          <w:sz w:val="19"/>
        </w:rPr>
        <w:t>AL01</w:t>
      </w:r>
      <w:r>
        <w:t xml:space="preserve"> La Mojonera, entre mayo y septiembre de 2025. La web de SiAR identifica el cultivo como </w:t>
      </w:r>
      <w:r>
        <w:rPr>
          <w:rFonts w:ascii="Consolas" w:hAnsi="Consolas"/>
          <w:sz w:val="19"/>
        </w:rPr>
        <w:t>Pimiento</w:t>
      </w:r>
      <w:r>
        <w:t xml:space="preserve"> sin declarar el sistema productivo; su tratamiento como aire libre es una decisión de alcance del piloto, coherente con el uso de meteorología y precipitación exterior.</w:t>
      </w:r>
    </w:p>
    <w:p>
      <w:pPr>
        <w:pStyle w:val="Heading3"/>
        <w:keepNext/>
      </w:pPr>
      <w:r>
        <w:rPr>
          <w:rFonts w:ascii="Times New Roman" w:hAnsi="Times New Roman"/>
          <w:color w:val="000000"/>
          <w:sz w:val="24"/>
        </w:rPr>
        <w:t>3.1.1. Fuentes incorporadas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Fuente y producto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Naturaleza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Información principal</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Función en el sistema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Estado</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SiAR Web API</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Observada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Estaciones, temperatura, humedad, viento, radiación, precipitación, ET0 y precipitación efectiva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Histórico agroclimático y trazabilidad espacial</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Integrada y probada.</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SiAR, cálculo de necesidades hídricas</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Referencia agronómica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Kc, ET0, ETc, precipitación efectiva y necesidad neta por cultivo y zona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Baseline agronómico y etiqueta de referencia del piloto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Incorporada mediante CSV oficial.</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AEMET OpenData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Predictiva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Predicción municipal diaria y horaria, temperatura, humedad, lluvia, probabilidad, viento y horizonte</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Anticipación meteorológica y futura recomendación</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Integrada y normalizada; todavía no alineada con el histórico 2025.</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MITECO y datos de parcela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Contextual</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Disponibilidad de agua, restricciones, suelo, instalación y riego aplicado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Restricciones operativas y validación real</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Evolución prevista; no forma parte del conjunto actual.</w:t>
            </w:r>
          </w:p>
        </w:tc>
      </w:tr>
    </w:tbl>
    <w:p>
      <w:pPr>
        <w:spacing w:after="40"/>
      </w:pPr>
    </w:p>
    <w:p>
      <w:pPr>
        <w:spacing w:after="120"/>
      </w:pPr>
      <w:r>
        <w:t xml:space="preserve">Los inventarios completos de campos, endpoints, significado y prioridad ya se mantienen en </w:t>
      </w:r>
      <w:r>
        <w:rPr>
          <w:rFonts w:ascii="Consolas" w:hAnsi="Consolas"/>
          <w:sz w:val="19"/>
        </w:rPr>
        <w:t>docs/FUENTE_DATOS_SIAR.md</w:t>
      </w:r>
      <w:r>
        <w:t xml:space="preserve"> y </w:t>
      </w:r>
      <w:r>
        <w:rPr>
          <w:rFonts w:ascii="Consolas" w:hAnsi="Consolas"/>
          <w:sz w:val="19"/>
        </w:rPr>
        <w:t>docs/FUENTE_DATOS_AEMET.md</w:t>
      </w:r>
      <w:r>
        <w:t xml:space="preserve">. La estrategia de combinación se documenta en </w:t>
      </w:r>
      <w:r>
        <w:rPr>
          <w:rFonts w:ascii="Consolas" w:hAnsi="Consolas"/>
          <w:sz w:val="19"/>
        </w:rPr>
        <w:t>docs/ESTRATEGIA_DATOS_DSS.md</w:t>
      </w:r>
      <w:r>
        <w:t>; por tanto, este apartado resume las decisiones metodológicas sin duplicar esos diccionarios técnicos.</w:t>
      </w:r>
    </w:p>
    <w:p>
      <w:pPr>
        <w:pStyle w:val="Heading3"/>
        <w:keepNext/>
      </w:pPr>
      <w:r>
        <w:rPr>
          <w:rFonts w:ascii="Times New Roman" w:hAnsi="Times New Roman"/>
          <w:color w:val="000000"/>
          <w:sz w:val="24"/>
        </w:rPr>
        <w:t>3.1.2. Familias de variables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Familia</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Ejemplos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Disponibilidad</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Uso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Identificación y contexto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fuente, estación, municipio, cultivo, fecha y periodo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Conocida antes del cálculo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Claves, selección dinámica y segmentación.</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Meteorología observada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temperatura, humedad, viento, radiación, precipitación y ET0</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Disponible después de observar el día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Análisis histórico, retardos y validación.</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Predicción meteorológica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fecha de emisión, fecha válida, horizonte, lluvia, temperatura, humedad y viento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Disponible antes de la fecha válida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Recomendación futura y análisis de incertidumbre.</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Agronómicas</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ETc, precipitación efectiva y necesidad neta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planificado; el resto se calcula u observa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Baseline, diagnóstico y variable objetivo.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Temporales y derivadas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día del año, codificación cíclica, retardos y ventanas móviles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Calculadas de forma reproducible</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Predictores sin utilizar información futura.</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Calidad y trazabilidad</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estado, incidencias, fecha de ingesta y archivo de origen</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Generadas durante la ETL</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Auditoría; no se emplean como predictores.</w:t>
            </w:r>
          </w:p>
        </w:tc>
      </w:tr>
    </w:tbl>
    <w:p>
      <w:pPr>
        <w:spacing w:after="40"/>
      </w:pPr>
    </w:p>
    <w:p>
      <w:pPr>
        <w:spacing w:after="120"/>
      </w:pPr>
      <w:r>
        <w:t xml:space="preserve">La variable objetivo del experimento es </w:t>
      </w:r>
      <w:r>
        <w:rPr>
          <w:rFonts w:ascii="Consolas" w:hAnsi="Consolas"/>
          <w:sz w:val="19"/>
        </w:rPr>
        <w:t>target_net_irrigation_need_mm</w:t>
      </w:r>
      <w:r>
        <w:t xml:space="preserve">,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w:t>
      </w:r>
      <w:r>
        <w:rPr>
          <w:rFonts w:ascii="Consolas" w:hAnsi="Consolas"/>
          <w:sz w:val="19"/>
        </w:rPr>
        <w:t>docs/data_samples/feature_catalog_4_2.csv</w:t>
      </w:r>
      <w:r>
        <w:t xml:space="preserve"> documenta las 88 columnas de la tabla analítica, su tipo, disponibilidad, porcentaje de ausencias, función y riesgo de fuga de información.</w:t>
      </w:r>
    </w:p>
    <w:p>
      <w:pPr>
        <w:pStyle w:val="Heading3"/>
        <w:keepNext/>
      </w:pPr>
      <w:r>
        <w:rPr>
          <w:rFonts w:ascii="Times New Roman" w:hAnsi="Times New Roman"/>
          <w:color w:val="000000"/>
          <w:sz w:val="24"/>
        </w:rPr>
        <w:t>3.1.3. Calidad y trazabilidad</w:t>
      </w:r>
    </w:p>
    <w:p>
      <w:pPr>
        <w:spacing w:after="120"/>
      </w:pPr>
      <w:r>
        <w:t xml:space="preserve">Los controles se aplican sin destruir la respuesta original. La capa </w:t>
      </w:r>
      <w:r>
        <w:rPr>
          <w:rFonts w:ascii="Consolas" w:hAnsi="Consolas"/>
          <w:sz w:val="19"/>
        </w:rPr>
        <w:t>raw</w:t>
      </w:r>
      <w:r>
        <w:t xml:space="preserve"> permanece inmutable; las tablas </w:t>
      </w:r>
      <w:r>
        <w:rPr>
          <w:rFonts w:ascii="Consolas" w:hAnsi="Consolas"/>
          <w:sz w:val="19"/>
        </w:rPr>
        <w:t>interim</w:t>
      </w:r>
      <w:r>
        <w:t xml:space="preserve"> añaden tipos, unidades, indicadores de calidad y procedencia; y la capa </w:t>
      </w:r>
      <w:r>
        <w:rPr>
          <w:rFonts w:ascii="Consolas" w:hAnsi="Consolas"/>
          <w:sz w:val="19"/>
        </w:rPr>
        <w:t>processed</w:t>
      </w:r>
      <w:r>
        <w:t xml:space="preserve"> contiene las variables preparadas para análisis y modelado. Los registros con incidencias se conservan y se marcan, en lugar de convertir automáticamente una ausencia en cero.</w:t>
      </w:r>
    </w:p>
    <w:p>
      <w:pPr>
        <w:spacing w:after="120"/>
      </w:pPr>
      <w:r>
        <w:t>Se comprueban, al menos, los siguientes aspectos:</w:t>
      </w:r>
    </w:p>
    <w:p>
      <w:pPr>
        <w:spacing w:after="60"/>
        <w:ind w:left="360" w:hanging="259"/>
      </w:pPr>
      <w:r>
        <w:t>1. presencia de variables críticas y validez de tipos;</w:t>
      </w:r>
    </w:p>
    <w:p>
      <w:pPr>
        <w:spacing w:after="60"/>
        <w:ind w:left="360" w:hanging="259"/>
      </w:pPr>
      <w:r>
        <w:t>2. unicidad de las claves lógicas y ausencia de duplicados;</w:t>
      </w:r>
    </w:p>
    <w:p>
      <w:pPr>
        <w:spacing w:after="60"/>
        <w:ind w:left="360" w:hanging="259"/>
      </w:pPr>
      <w:r>
        <w:t>3. continuidad del calendario y cobertura temporal;</w:t>
      </w:r>
    </w:p>
    <w:p>
      <w:pPr>
        <w:spacing w:after="60"/>
        <w:ind w:left="360" w:hanging="259"/>
      </w:pPr>
      <w:r>
        <w:t>4. rangos físicos de temperatura, humedad, viento, radiación y precipitación;</w:t>
      </w:r>
    </w:p>
    <w:p>
      <w:pPr>
        <w:spacing w:after="60"/>
        <w:ind w:left="360" w:hanging="259"/>
      </w:pPr>
      <w:r>
        <w:t>5. coherencia entre temperatura mínima, media y máxima;</w:t>
      </w:r>
    </w:p>
    <w:p>
      <w:pPr>
        <w:spacing w:after="60"/>
        <w:ind w:left="360" w:hanging="259"/>
      </w:pPr>
      <w:r>
        <w:t>6. no negatividad de ET0, precipitación y necesidad hídrica;</w:t>
      </w:r>
    </w:p>
    <w:p>
      <w:pPr>
        <w:spacing w:after="60"/>
        <w:ind w:left="360" w:hanging="259"/>
      </w:pPr>
      <w:r>
        <w:t xml:space="preserve">7. identidades aproximadas </w:t>
      </w:r>
      <w:r>
        <w:rPr>
          <w:rFonts w:ascii="Consolas" w:hAnsi="Consolas"/>
          <w:sz w:val="19"/>
        </w:rPr>
        <w:t>ETc = ET0 × Kc</w:t>
      </w:r>
      <w:r>
        <w:t xml:space="preserve"> y </w:t>
      </w:r>
      <w:r>
        <w:rPr>
          <w:rFonts w:ascii="Consolas" w:hAnsi="Consolas"/>
          <w:sz w:val="19"/>
        </w:rPr>
        <w:t>necesidad_neta = max(ETc − Pe, 0)</w:t>
      </w:r>
      <w:r>
        <w:t>;</w:t>
      </w:r>
    </w:p>
    <w:p>
      <w:pPr>
        <w:spacing w:after="60"/>
        <w:ind w:left="360" w:hanging="259"/>
      </w:pPr>
      <w:r>
        <w:t>8. disponibilidad de cada predictor en el instante de predicción;</w:t>
      </w:r>
    </w:p>
    <w:p>
      <w:pPr>
        <w:spacing w:after="60"/>
        <w:ind w:left="360" w:hanging="259"/>
      </w:pPr>
      <w:r>
        <w:t>9. conservación de fuente, fecha de ingesta y archivo original.</w:t>
      </w:r>
    </w:p>
    <w:p>
      <w:pPr>
        <w:spacing w:after="120"/>
      </w:pPr>
      <w:r>
        <w:t xml:space="preserve">La auditoría reproducible se genera mediante </w:t>
      </w:r>
      <w:r>
        <w:rPr>
          <w:rFonts w:ascii="Consolas" w:hAnsi="Consolas"/>
          <w:sz w:val="19"/>
        </w:rPr>
        <w:t>src/analysis/build_etl_audit_4_1.py</w:t>
      </w:r>
      <w:r>
        <w:t xml:space="preserve"> y queda registrada en </w:t>
      </w:r>
      <w:r>
        <w:rPr>
          <w:rFonts w:ascii="Consolas" w:hAnsi="Consolas"/>
          <w:sz w:val="19"/>
        </w:rPr>
        <w:t>docs/data_samples/etl_volume_summary_4_1.csv</w:t>
      </w:r>
      <w:r>
        <w:t>. Los resultados cuantitativos de la extracción y la limpieza se presentan en el apartado 4.1, mientras que el análisis de distribuciones, ausencias y relaciones entre variables se desarrolla en el apartado 4.2.</w:t>
      </w:r>
    </w:p>
    <w:p>
      <w:pPr>
        <w:pStyle w:val="Heading3"/>
        <w:keepNext/>
      </w:pPr>
      <w:r>
        <w:rPr>
          <w:rFonts w:ascii="Times New Roman" w:hAnsi="Times New Roman"/>
          <w:color w:val="000000"/>
          <w:sz w:val="24"/>
        </w:rPr>
        <w:t>3.1.4. Gobierno, seguridad y limitaciones</w:t>
      </w:r>
    </w:p>
    <w:p>
      <w:pPr>
        <w:spacing w:after="120"/>
      </w:pPr>
      <w:r>
        <w:t>Las credenciales se leen desde variables de entorno y no se incluyen en Git, los datos ni los mensajes de error. Cada extracción guarda los parámetros de la consulta, la fecha de ingesta y el número de registros. Los archivos raw y las tablas completas generadas se mantienen fuera del control de versiones; se versionan código, esquemas, metadatos, muestras ligeras, métricas y figuras reproducibles.</w:t>
      </w:r>
    </w:p>
    <w:p>
      <w:pPr>
        <w:spacing w:after="120"/>
      </w:pPr>
      <w:r>
        <w:t>El conjunto actual permite validar el recorrido técnico, pero no demostrar una optimización agronómica generalizable. Solo contiene una estación, un cultivo y una campaña; la referencia SiAR es calculada; y no se dispone todavía de riego real, humedad del suelo, eficiencia de la instalación ni respuesta productiva. Estas limitaciones condicionan la evaluación del capítulo 4 y el alcance de las recomendaciones posteriores.</w:t>
      </w:r>
    </w:p>
    <w:p>
      <w:pPr>
        <w:pStyle w:val="Heading2"/>
      </w:pPr>
      <w:r>
        <w:t>3.2. Arquitectura, tecnologías y flujo de información</w:t>
      </w:r>
    </w:p>
    <w:p>
      <w:pPr>
        <w:spacing w:after="120"/>
      </w:pPr>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pPr>
        <w:keepNext w:val="0"/>
        <w:jc w:val="center"/>
      </w:pPr>
      <w:r>
        <w:drawing>
          <wp:inline xmlns:wp="http://schemas.openxmlformats.org/drawingml/2006/wordprocessingDrawing" xmlns:a="http://schemas.openxmlformats.org/drawingml/2006/main" xmlns:pic="http://schemas.openxmlformats.org/drawingml/2006/picture">
            <wp:extent cx="5577840" cy="3150254"/>
            <wp:docPr id="21" name="Picture 21"/>
            <wp:cNvGraphicFramePr>
              <a:graphicFrameLocks noChangeAspect="1"/>
            </wp:cNvGraphicFramePr>
            <a:graphic>
              <a:graphicData uri="http://schemas.openxmlformats.org/drawingml/2006/picture">
                <pic:pic>
                  <pic:nvPicPr>
                    <pic:cNvPr id="0" name="image.png"/>
                    <pic:cNvPicPr/>
                  </pic:nvPicPr>
                  <pic:blipFill>
                    <a:blip ns1:embed="rId17"/>
                    <a:stretch>
                      <a:fillRect/>
                    </a:stretch>
                  </pic:blipFill>
                  <pic:spPr>
                    <a:xfrm>
                      <a:off x="0" y="0"/>
                      <a:ext cx="5577840" cy="3150254"/>
                    </a:xfrm>
                    <a:prstGeom prst="rect"/>
                  </pic:spPr>
                </pic:pic>
              </a:graphicData>
            </a:graphic>
          </wp:inline>
        </w:drawing>
      </w:r>
    </w:p>
    <w:p>
      <w:pPr>
        <w:spacing w:after="120"/>
      </w:pPr>
      <w:r>
        <w:rPr>
          <w:i/>
        </w:rPr>
        <w:t>Figura 3.1. Arquitectura del prototipo. Las cajas azules representan componentes implementados y las cajas discontinuas identifican extensiones previstas.</w:t>
      </w:r>
    </w:p>
    <w:p>
      <w:pPr>
        <w:pStyle w:val="Heading3"/>
        <w:keepNext/>
      </w:pPr>
      <w:r>
        <w:rPr>
          <w:rFonts w:ascii="Times New Roman" w:hAnsi="Times New Roman"/>
          <w:color w:val="000000"/>
          <w:sz w:val="24"/>
        </w:rPr>
        <w:t>3.2.1. Capas de la arquitectura</w:t>
      </w:r>
    </w:p>
    <w:p>
      <w:pPr>
        <w:spacing w:after="60"/>
        <w:ind w:left="360" w:hanging="259"/>
      </w:pPr>
      <w:r>
        <w:t xml:space="preserve">1. </w:t>
      </w:r>
      <w:r>
        <w:rPr>
          <w:b/>
        </w:rPr>
        <w:t>Configuración.</w:t>
      </w:r>
      <w:r>
        <w:t xml:space="preserve"> La ubicación, el cultivo y el periodo se proporcionan como parámetros de ejecución. En una fase posterior procederán de la interfaz del usuario.</w:t>
      </w:r>
    </w:p>
    <w:p>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pPr>
        <w:spacing w:after="60"/>
        <w:ind w:left="360" w:hanging="259"/>
      </w:pPr>
      <w:r>
        <w:t xml:space="preserve">4. </w:t>
      </w:r>
      <w:r>
        <w:rPr>
          <w:b/>
        </w:rPr>
        <w:t>Almacenamiento por capas.</w:t>
      </w:r>
      <w:r>
        <w:t xml:space="preserve"> </w:t>
      </w:r>
      <w:r>
        <w:rPr>
          <w:rFonts w:ascii="Consolas" w:hAnsi="Consolas"/>
          <w:sz w:val="19"/>
        </w:rPr>
        <w:t>raw</w:t>
      </w:r>
      <w:r>
        <w:t xml:space="preserve"> conserva las respuestas; </w:t>
      </w:r>
      <w:r>
        <w:rPr>
          <w:rFonts w:ascii="Consolas" w:hAnsi="Consolas"/>
          <w:sz w:val="19"/>
        </w:rPr>
        <w:t>external</w:t>
      </w:r>
      <w:r>
        <w:t xml:space="preserve"> contiene el CSV agronómico; </w:t>
      </w:r>
      <w:r>
        <w:rPr>
          <w:rFonts w:ascii="Consolas" w:hAnsi="Consolas"/>
          <w:sz w:val="19"/>
        </w:rPr>
        <w:t>interim</w:t>
      </w:r>
      <w:r>
        <w:t xml:space="preserve"> almacena tablas normalizadas y controles de calidad; </w:t>
      </w:r>
      <w:r>
        <w:rPr>
          <w:rFonts w:ascii="Consolas" w:hAnsi="Consolas"/>
          <w:sz w:val="19"/>
        </w:rPr>
        <w:t>processed</w:t>
      </w:r>
      <w:r>
        <w:t xml:space="preserve"> contiene la tabla analítica y las variables derivadas.</w:t>
      </w:r>
    </w:p>
    <w:p>
      <w:pPr>
        <w:spacing w:after="60"/>
        <w:ind w:left="360" w:hanging="259"/>
      </w:pPr>
      <w:r>
        <w:t xml:space="preserve">5. </w:t>
      </w:r>
      <w:r>
        <w:rPr>
          <w:b/>
        </w:rPr>
        <w:t>Análisis y modelado.</w:t>
      </w:r>
      <w:r>
        <w:t xml:space="preserve"> Los módulos de características, análisis exploratorio y evaluación consumen la capa </w:t>
      </w:r>
      <w:r>
        <w:rPr>
          <w:rFonts w:ascii="Consolas" w:hAnsi="Consolas"/>
          <w:sz w:val="19"/>
        </w:rPr>
        <w:t>processed</w:t>
      </w:r>
      <w:r>
        <w:t>. Los modelos se comparan mediante validación temporal y generan métricas, predicciones y figuras.</w:t>
      </w:r>
    </w:p>
    <w:p>
      <w:pPr>
        <w:spacing w:after="60"/>
        <w:ind w:left="360" w:hanging="259"/>
      </w:pPr>
      <w:r>
        <w:t xml:space="preserve">6. </w:t>
      </w:r>
      <w:r>
        <w:rPr>
          <w:b/>
        </w:rPr>
        <w:t>DSS y presentación.</w:t>
      </w:r>
      <w:r>
        <w:t xml:space="preserve"> El motor de recomendación y el cuadro de mando utilizarán las predicciones, las reglas agronómicas y los parámetros de la parcela. Esta capa todavía está en desarrollo y no se presenta como implementada.</w:t>
      </w:r>
    </w:p>
    <w:p>
      <w:pPr>
        <w:spacing w:after="120"/>
      </w:pPr>
      <w:r>
        <w:t>El flujo principal es unidireccional y reproducible:</w:t>
      </w:r>
    </w:p>
    <w:p>
      <w:pPr>
        <w:spacing w:before="80" w:after="140"/>
        <w:ind w:left="360" w:right="216"/>
        <w:jc w:val="left"/>
        <w:shd w:fill="F2F2F2"/>
      </w:pPr>
      <w:r>
        <w:rPr>
          <w:rFonts w:ascii="Consolas" w:hAnsi="Consolas"/>
          <w:sz w:val="17"/>
        </w:rPr>
        <w:t>parámetros -&gt; fuentes -&gt; raw/external -&gt; interim -&gt; processed</w:t>
        <w:br/>
      </w:r>
      <w:r>
        <w:rPr>
          <w:rFonts w:ascii="Consolas" w:hAnsi="Consolas"/>
          <w:sz w:val="17"/>
        </w:rPr>
        <w:t xml:space="preserve">           -&gt; análisis/modelos -&gt; evidencias -&gt; futuro motor DSS</w:t>
      </w:r>
    </w:p>
    <w:p>
      <w:pPr>
        <w:spacing w:after="120"/>
      </w:pPr>
      <w:r>
        <w:t>La procedencia se conserva en sentido inverso: una predicción puede relacionarse con la fila analítica, las tablas normalizadas y el archivo original que la generó.</w:t>
      </w:r>
    </w:p>
    <w:p>
      <w:pPr>
        <w:pStyle w:val="Heading3"/>
        <w:keepNext/>
      </w:pPr>
      <w:r>
        <w:rPr>
          <w:rFonts w:ascii="Times New Roman" w:hAnsi="Times New Roman"/>
          <w:color w:val="000000"/>
          <w:sz w:val="24"/>
        </w:rPr>
        <w:t>3.2.2. Tecnologías y grado de implementación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Tecnología</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Función</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Estado en el proyecto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Python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Clientes de APIs, transformación, calidad, características y automatización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pandas y NumPy</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Tablas, limpieza, agregación y preparación de variables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scikit-learn y XGBoost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Pipelines, validación temporal y comparación de modelos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Matplotlib</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Figuras reproducibles para análisis y memoria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Jupyter y Visual Studio Code</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Exploración, demostración y desarrollo local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Git y GitHub</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Versionado, ramas, revisión e integración del trabajo</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MySQL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Persistencia relacional de catálogos, recomendaciones y metadatos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Diseñado, pendiente de implementación.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Apache Hop</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Orquestación visual de cargas ETL</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Propuesto; el flujo actual se ejecuta con módulos Python.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Power BI o Tableau</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Interfaz de consulta y visualización final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Previsto para la capa de presentación.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Docker</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Entorno reproducible de servicios y despliegue</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Previsto.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PySpark</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Procesamiento distribuido si el volumen nacional lo justifica</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Condicional; no necesario para el piloto actual.</w:t>
            </w:r>
          </w:p>
        </w:tc>
      </w:tr>
    </w:tbl>
    <w:p>
      <w:pPr>
        <w:spacing w:after="40"/>
      </w:pPr>
    </w:p>
    <w:p>
      <w:pPr>
        <w:spacing w:after="120"/>
      </w:pPr>
      <w:r>
        <w:t>Esta clasificación actualiza el planteamiento del anteproyecto. MySQL, Apache Hop, Docker, PySpark y el cuadro de mando forman parte de la arquitectura objetivo, pero no se consideran evidencias terminadas. En el estado actual, el prototipo reproducible se apoya en módulos Python y almacenamiento local por capas.</w:t>
      </w:r>
    </w:p>
    <w:p>
      <w:pPr>
        <w:pStyle w:val="Heading3"/>
        <w:keepNext/>
      </w:pPr>
      <w:r>
        <w:rPr>
          <w:rFonts w:ascii="Times New Roman" w:hAnsi="Times New Roman"/>
          <w:color w:val="000000"/>
          <w:sz w:val="24"/>
        </w:rPr>
        <w:t>3.2.3. Contratos de datos e integración</w:t>
      </w:r>
    </w:p>
    <w:p>
      <w:pPr>
        <w:spacing w:after="120"/>
      </w:pPr>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pPr>
        <w:spacing w:after="120"/>
      </w:pPr>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pPr>
        <w:pStyle w:val="Heading3"/>
        <w:keepNext/>
      </w:pPr>
      <w:r>
        <w:rPr>
          <w:rFonts w:ascii="Times New Roman" w:hAnsi="Times New Roman"/>
          <w:color w:val="000000"/>
          <w:sz w:val="24"/>
        </w:rPr>
        <w:t>3.2.4. Reproducibilidad y escalabilidad</w:t>
      </w:r>
    </w:p>
    <w:p>
      <w:pPr>
        <w:spacing w:after="120"/>
      </w:pPr>
      <w:r>
        <w:t>Los procesos se ejecutan mediante módulos independientes y generan salidas deterministas a partir de datos y parámetros conocidos. Las pruebas automáticas cubren construcción de consultas, protección de credenciales, escritura raw, normalización, calidad, características y evaluación temporal. Las figuras y resúmenes de la memoria se regeneran desde los mismos archivos que consume el modelado.</w:t>
      </w:r>
    </w:p>
    <w:p>
      <w:pPr>
        <w:spacing w:after="120"/>
      </w:pPr>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pPr>
        <w:pStyle w:val="Heading2"/>
      </w:pPr>
      <w:r>
        <w:t>3.3. Planificación y organización del proyecto</w:t>
      </w:r>
    </w:p>
    <w:p>
      <w:pPr>
        <w:spacing w:after="120"/>
      </w:pPr>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pPr>
        <w:spacing w:after="120"/>
      </w:pPr>
      <w:r>
        <w:t>Las fases de trabajo son: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Fase</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Actividades</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Evidencia de salida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Comprensión y alcance</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Necesidad de negocio, usuario, decisión y restricciones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Objetivos, alcance del piloto y criterios de evaluación.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Adquisición y comprensión de datos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Inventario de fuentes, extracción y análisis de cobertura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Archivos raw, metadatos, inventarios y controles iniciales.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Preparación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Normalización, calidad, integración y características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Tablas interim y processed, catálogo de variables y auditoría.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Modelado y evaluación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Baselines, modelos, validación temporal y prueba reservada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Métricas, predicciones, figuras y decisión técnica.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Sistema de recomendación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Reglas agronómicas, parámetros de parcela y explicación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Prototipo del DSS y salidas diaria y semanal.</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Validación y documentación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Revisión funcional, limitaciones y reproducibilidad</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Pruebas, memoria, manual de ejecución y conclusiones.</w:t>
            </w:r>
          </w:p>
        </w:tc>
      </w:tr>
    </w:tbl>
    <w:p>
      <w:pPr>
        <w:spacing w:after="40"/>
      </w:pPr>
    </w:p>
    <w:p>
      <w:pPr>
        <w:spacing w:after="120"/>
      </w:pPr>
      <w:r>
        <w:t xml:space="preserve">El desarrollo se organiza mediante Git y GitHub para mantener trazabilidad sobre el código, la documentación y las evidencias reproducibles. La rama </w:t>
      </w:r>
      <w:r>
        <w:rPr>
          <w:rFonts w:ascii="Consolas" w:hAnsi="Consolas"/>
          <w:sz w:val="19"/>
        </w:rPr>
        <w:t>main</w:t>
      </w:r>
      <w:r>
        <w:t xml:space="preserve"> representa la versión integrada del proyecto. Cada bloque de trabajo se desarrolla en una rama independiente creada desde </w:t>
      </w:r>
      <w:r>
        <w:rPr>
          <w:rFonts w:ascii="Consolas" w:hAnsi="Consolas"/>
          <w:sz w:val="19"/>
        </w:rPr>
        <w:t>main</w:t>
      </w:r>
      <w:r>
        <w:t xml:space="preserve">, con un nombre que identifica a la persona y la tarea, por ejemplo </w:t>
      </w:r>
      <w:r>
        <w:rPr>
          <w:rFonts w:ascii="Consolas" w:hAnsi="Consolas"/>
          <w:sz w:val="19"/>
        </w:rPr>
        <w:t>adrian/procesamiento-ml</w:t>
      </w:r>
      <w:r>
        <w:t>.</w:t>
      </w:r>
    </w:p>
    <w:p>
      <w:pPr>
        <w:spacing w:after="120"/>
      </w:pPr>
      <w:r>
        <w:t xml:space="preserve">El ciclo habitual comienza actualizando </w:t>
      </w:r>
      <w:r>
        <w:rPr>
          <w:rFonts w:ascii="Consolas" w:hAnsi="Consolas"/>
          <w:sz w:val="19"/>
        </w:rPr>
        <w:t>main</w:t>
      </w:r>
      <w:r>
        <w:t xml:space="preserve"> y creando o recuperando la rama de trabajo. Durante el desarrollo se revisan los archivos modificados, se ejecutan las pruebas asociadas y se crean commits pequeños con mensajes descriptivos. La rama se publica mediante </w:t>
      </w:r>
      <w:r>
        <w:rPr>
          <w:rFonts w:ascii="Consolas" w:hAnsi="Consolas"/>
          <w:sz w:val="19"/>
        </w:rPr>
        <w:t>push</w:t>
      </w:r>
      <w:r>
        <w:t xml:space="preserve"> y se abre una pull request hacia </w:t>
      </w:r>
      <w:r>
        <w:rPr>
          <w:rFonts w:ascii="Consolas" w:hAnsi="Consolas"/>
          <w:sz w:val="19"/>
        </w:rPr>
        <w:t>main</w:t>
      </w:r>
      <w:r>
        <w:t xml:space="preserve">. Esta solicitud permite revisar el código, las cifras y la documentación antes de la fusión. Después del merge, el resto del equipo actualiza su copia local de </w:t>
      </w:r>
      <w:r>
        <w:rPr>
          <w:rFonts w:ascii="Consolas" w:hAnsi="Consolas"/>
          <w:sz w:val="19"/>
        </w:rPr>
        <w:t>main</w:t>
      </w:r>
      <w:r>
        <w:t xml:space="preserve"> antes de comenzar una nueva tarea.</w:t>
      </w:r>
    </w:p>
    <w:p>
      <w:pPr>
        <w:spacing w:before="80" w:after="140"/>
        <w:ind w:left="360" w:right="216"/>
        <w:jc w:val="left"/>
        <w:shd w:fill="F2F2F2"/>
      </w:pPr>
      <w:r>
        <w:rPr>
          <w:rFonts w:ascii="Consolas" w:hAnsi="Consolas"/>
          <w:sz w:val="17"/>
        </w:rPr>
        <w:t>main actualizada</w:t>
        <w:br/>
      </w:r>
      <w:r>
        <w:rPr>
          <w:rFonts w:ascii="Consolas" w:hAnsi="Consolas"/>
          <w:sz w:val="17"/>
        </w:rPr>
        <w:t xml:space="preserve">    -&gt; rama persona/tarea</w:t>
        <w:br/>
      </w:r>
      <w:r>
        <w:rPr>
          <w:rFonts w:ascii="Consolas" w:hAnsi="Consolas"/>
          <w:sz w:val="17"/>
        </w:rPr>
        <w:t xml:space="preserve">    -&gt; cambios y pruebas locales</w:t>
        <w:br/>
      </w:r>
      <w:r>
        <w:rPr>
          <w:rFonts w:ascii="Consolas" w:hAnsi="Consolas"/>
          <w:sz w:val="17"/>
        </w:rPr>
        <w:t xml:space="preserve">    -&gt; commit</w:t>
        <w:br/>
      </w:r>
      <w:r>
        <w:rPr>
          <w:rFonts w:ascii="Consolas" w:hAnsi="Consolas"/>
          <w:sz w:val="17"/>
        </w:rPr>
        <w:t xml:space="preserve">    -&gt; push a GitHub</w:t>
        <w:br/>
      </w:r>
      <w:r>
        <w:rPr>
          <w:rFonts w:ascii="Consolas" w:hAnsi="Consolas"/>
          <w:sz w:val="17"/>
        </w:rPr>
        <w:t xml:space="preserve">    -&gt; pull request y revisión</w:t>
        <w:br/>
      </w:r>
      <w:r>
        <w:rPr>
          <w:rFonts w:ascii="Consolas" w:hAnsi="Consolas"/>
          <w:sz w:val="17"/>
        </w:rPr>
        <w:t xml:space="preserve">    -&gt; merge en main</w:t>
      </w:r>
    </w:p>
    <w:p>
      <w:pPr>
        <w:spacing w:after="120"/>
      </w:pPr>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pPr>
        <w:spacing w:after="120"/>
      </w:pPr>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pPr>
        <w:spacing w:after="120"/>
      </w:pPr>
      <w:r>
        <w:t xml:space="preserve">Las credenciales se almacenan únicamente en </w:t>
      </w:r>
      <w:r>
        <w:rPr>
          <w:rFonts w:ascii="Consolas" w:hAnsi="Consolas"/>
          <w:sz w:val="19"/>
        </w:rPr>
        <w:t>.env</w:t>
      </w:r>
      <w:r>
        <w:t xml:space="preserve">, excluido de Git. Los datos raw, las tablas completas generadas y los modelos serializados también quedan fuera del control de versiones. Se versionan el código, los esquemas, las muestras ligeras, las métricas, las figuras y los datos públicos que el equipo haya aprobado expresamente. Las instrucciones operativas completas se mantienen en </w:t>
      </w:r>
      <w:r>
        <w:rPr>
          <w:rFonts w:ascii="Consolas" w:hAnsi="Consolas"/>
          <w:sz w:val="19"/>
        </w:rPr>
        <w:t>CONTRIBUTING.md</w:t>
      </w:r>
      <w:r>
        <w:t xml:space="preserve"> y </w:t>
      </w:r>
      <w:r>
        <w:rPr>
          <w:rFonts w:ascii="Consolas" w:hAnsi="Consolas"/>
          <w:sz w:val="19"/>
        </w:rPr>
        <w:t>ORGANIZACION_Y_VERSIONADO.md</w:t>
      </w:r>
      <w:r>
        <w:t>.</w:t>
      </w:r>
    </w:p>
    <w:p>
      <w:pPr>
        <w:pStyle w:val="Heading1"/>
      </w:pPr>
      <w:r>
        <w:t>4. Procesamiento de datos y Machine Learning</w:t>
      </w:r>
    </w:p>
    <w:p>
      <w:pPr>
        <w:pStyle w:val="Heading2"/>
      </w:pPr>
      <w:r>
        <w:t>4.1. Extracción, transformación y almacenamiento de datos</w:t>
      </w:r>
    </w:p>
    <w:p>
      <w:pPr>
        <w:spacing w:after="120"/>
      </w:pPr>
      <w:r>
        <w:t>El sistema de apoyo a la decisión necesita combinar observaciones agroclimáticas históricas con predicciones meteorológicas.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pPr>
        <w:spacing w:after="120"/>
      </w:pPr>
      <w:r>
        <w:t xml:space="preserve">El piloto utiliza como referencia el pimiento al aire libre en Almería. Se ha extraído un ciclo completo del 1 de mayo al 30 de septiembre de 2025 para la estación SiAR </w:t>
      </w:r>
      <w:r>
        <w:rPr>
          <w:rFonts w:ascii="Consolas" w:hAnsi="Consolas"/>
          <w:sz w:val="19"/>
        </w:rPr>
        <w:t>AL01</w:t>
      </w:r>
      <w:r>
        <w:t xml:space="preserve"> La Mojonera, junto con las necesidades hídricas del pimiento en esa misma estación y periodo. Las predicciones se obtienen para el municipio AEMET </w:t>
      </w:r>
      <w:r>
        <w:rPr>
          <w:rFonts w:ascii="Consolas" w:hAnsi="Consolas"/>
          <w:sz w:val="19"/>
        </w:rPr>
        <w:t>04013</w:t>
      </w:r>
      <w:r>
        <w:t xml:space="preserve"> Almería. Esta configuración es un caso de validación y no una restricción fija del producto. El diseño conserva identificadores de fuente, estación, municipio, cultivo y tiempo para que la selección del usuario determine qué datos se consultan en cada ejecución.</w:t>
      </w:r>
    </w:p>
    <w:p>
      <w:pPr>
        <w:keepNext w:val="0"/>
        <w:jc w:val="center"/>
      </w:pPr>
      <w:r>
        <w:drawing>
          <wp:inline xmlns:wp="http://schemas.openxmlformats.org/drawingml/2006/wordprocessingDrawing" xmlns:a="http://schemas.openxmlformats.org/drawingml/2006/main" xmlns:pic="http://schemas.openxmlformats.org/drawingml/2006/picture">
            <wp:extent cx="5577840" cy="3236939"/>
            <wp:docPr id="22" name="Picture 22"/>
            <wp:cNvGraphicFramePr>
              <a:graphicFrameLocks noChangeAspect="1"/>
            </wp:cNvGraphicFramePr>
            <a:graphic>
              <a:graphicData uri="http://schemas.openxmlformats.org/drawingml/2006/picture">
                <pic:pic>
                  <pic:nvPicPr>
                    <pic:cNvPr id="0" name="image.png"/>
                    <pic:cNvPicPr/>
                  </pic:nvPicPr>
                  <pic:blipFill>
                    <a:blip ns1:embed="rId14"/>
                    <a:stretch>
                      <a:fillRect/>
                    </a:stretch>
                  </pic:blipFill>
                  <pic:spPr>
                    <a:xfrm>
                      <a:off x="0" y="0"/>
                      <a:ext cx="5577840" cy="3236939"/>
                    </a:xfrm>
                    <a:prstGeom prst="rect"/>
                  </pic:spPr>
                </pic:pic>
              </a:graphicData>
            </a:graphic>
          </wp:inline>
        </w:drawing>
      </w:r>
    </w:p>
    <w:p>
      <w:pPr>
        <w:spacing w:after="120"/>
      </w:pPr>
      <w:r>
        <w:rPr>
          <w:i/>
        </w:rPr>
        <w:t>Figura 4.1. ETL parametrizable desde la selección del usuario hasta la tabla analítica del piloto. Los gráficos inferiores utilizan datos reales de la extracción del 24 de septiembre de 2026.</w:t>
      </w:r>
    </w:p>
    <w:p>
      <w:pPr>
        <w:pStyle w:val="Heading3"/>
        <w:keepNext/>
      </w:pPr>
      <w:r>
        <w:rPr>
          <w:rFonts w:ascii="Times New Roman" w:hAnsi="Times New Roman"/>
          <w:color w:val="000000"/>
          <w:sz w:val="24"/>
        </w:rPr>
        <w:t>4.1.1. Fuentes utilizadas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Organismo y producto</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Acceso oficial</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Datos utilizados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Función en el DSS</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Ministerio de Agricultura, Pesca y Alimentación, SiAR</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 xml:space="preserve">Web API SiAR v1, </w:t>
            </w:r>
            <w:r>
              <w:rPr>
                <w:rFonts w:ascii="Times New Roman" w:hAnsi="Times New Roman"/>
                <w:color w:val="000000"/>
                <w:sz w:val="16"/>
              </w:rPr>
              <w:t>https://servicio.mapa.gob.es/siarapi/API/V1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Observaciones por estación, ET0, precipitación efectiva y catálogos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Histórico agroclimático y trazabilidad espacial.</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Ministerio de Agricultura, Pesca y Alimentación, SiAR</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Web de cálculo de necesidades hídricas, </w:t>
            </w:r>
            <w:r>
              <w:rPr>
                <w:rFonts w:ascii="Times New Roman" w:hAnsi="Times New Roman"/>
                <w:color w:val="000000"/>
                <w:sz w:val="16"/>
              </w:rPr>
              <w:t>https://servicio.mapa.gob.es/siarweb/necesidadesHidricas/calculo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ET0, ETc, Pe y necesidad neta por cultivo, estación y periodo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Referencia agronómica y variable objetivo del piloto.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Agencia Estatal de Meteorología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 xml:space="preserve">AEMET OpenData, </w:t>
            </w:r>
            <w:r>
              <w:rPr>
                <w:rFonts w:ascii="Times New Roman" w:hAnsi="Times New Roman"/>
                <w:color w:val="000000"/>
                <w:sz w:val="16"/>
              </w:rPr>
              <w:t>https://opendata.aemet.es/opendata/api</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Predicción municipal diaria y horaria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Anticipación meteorológica para recomendaciones futuras.</w:t>
            </w:r>
          </w:p>
        </w:tc>
      </w:tr>
    </w:tbl>
    <w:p>
      <w:pPr>
        <w:spacing w:after="40"/>
      </w:pPr>
    </w:p>
    <w:p>
      <w:pPr>
        <w:spacing w:after="120"/>
      </w:pPr>
      <w:r>
        <w:t>Las respuestas de la Web API SiAR y AEMET se conservan con su fecha de ingestión, parámetros y archivo de procedencia. El CSV agronómico se acompaña de un fichero de metadatos que identifica organismo, URL, estación, comarca, cultivo, periodo y fecha de descarga.</w:t>
      </w:r>
    </w:p>
    <w:p>
      <w:pPr>
        <w:pStyle w:val="Heading4"/>
        <w:keepNext/>
      </w:pPr>
      <w:r>
        <w:rPr>
          <w:rFonts w:ascii="Times New Roman" w:hAnsi="Times New Roman"/>
          <w:color w:val="000000"/>
          <w:sz w:val="24"/>
        </w:rPr>
        <w:t>SiAR</w:t>
      </w:r>
    </w:p>
    <w:p>
      <w:pPr>
        <w:spacing w:after="120"/>
      </w:pPr>
      <w:r>
        <w:t>La API del Sistema de Información Agroclimática para el Regadío constituye la fuente histórica principal. Se han incorporado:</w:t>
      </w:r>
    </w:p>
    <w:p>
      <w:pPr>
        <w:spacing w:after="60"/>
        <w:ind w:left="360" w:hanging="259"/>
      </w:pPr>
      <w:r>
        <w:t>• catálogo de estaciones y sus coordenadas, altitud y vigencia;</w:t>
      </w:r>
    </w:p>
    <w:p>
      <w:pPr>
        <w:spacing w:after="60"/>
        <w:ind w:left="360" w:hanging="259"/>
      </w:pPr>
      <w:r>
        <w:t>• catálogo de códigos de validación;</w:t>
      </w:r>
    </w:p>
    <w:p>
      <w:pPr>
        <w:spacing w:after="60"/>
        <w:ind w:left="360" w:hanging="259"/>
      </w:pPr>
      <w:r>
        <w:t>• datos diarios por estación;</w:t>
      </w:r>
    </w:p>
    <w:p>
      <w:pPr>
        <w:spacing w:after="60"/>
        <w:ind w:left="360" w:hanging="259"/>
      </w:pPr>
      <w:r>
        <w:t>• temperatura, humedad, viento, radiación y precipitación;</w:t>
      </w:r>
    </w:p>
    <w:p>
      <w:pPr>
        <w:spacing w:after="60"/>
        <w:ind w:left="360" w:hanging="259"/>
      </w:pPr>
      <w:r>
        <w:t>• evapotranspiración de referencia Penman-Monteith (</w:t>
      </w:r>
      <w:r>
        <w:rPr>
          <w:rFonts w:ascii="Consolas" w:hAnsi="Consolas"/>
          <w:sz w:val="19"/>
        </w:rPr>
        <w:t>EtPMon</w:t>
      </w:r>
      <w:r>
        <w:t>);</w:t>
      </w:r>
    </w:p>
    <w:p>
      <w:pPr>
        <w:spacing w:after="60"/>
        <w:ind w:left="360" w:hanging="259"/>
      </w:pPr>
      <w:r>
        <w:t>• precipitación efectiva calculada (</w:t>
      </w:r>
      <w:r>
        <w:rPr>
          <w:rFonts w:ascii="Consolas" w:hAnsi="Consolas"/>
          <w:sz w:val="19"/>
        </w:rPr>
        <w:t>PePMon</w:t>
      </w:r>
      <w:r>
        <w:t>).</w:t>
      </w:r>
    </w:p>
    <w:p>
      <w:pPr>
        <w:spacing w:after="120"/>
      </w:pPr>
      <w:r>
        <w:t xml:space="preserve">La consulta diaria se realiza con </w:t>
      </w:r>
      <w:r>
        <w:rPr>
          <w:rFonts w:ascii="Consolas" w:hAnsi="Consolas"/>
          <w:sz w:val="19"/>
        </w:rPr>
        <w:t>DatosCalculados=true</w:t>
      </w:r>
      <w:r>
        <w:t xml:space="preserve"> para obtener ET0 y precipitación efectiva junto con las variables meteorológicas observadas. Estos datos representan el entorno de la estación y no una medición directa de la parcela concreta.</w:t>
      </w:r>
    </w:p>
    <w:p>
      <w:pPr>
        <w:pStyle w:val="Heading4"/>
        <w:keepNext/>
      </w:pPr>
      <w:r>
        <w:rPr>
          <w:rFonts w:ascii="Times New Roman" w:hAnsi="Times New Roman"/>
          <w:color w:val="000000"/>
          <w:sz w:val="24"/>
        </w:rPr>
        <w:t>AEMET OpenData</w:t>
      </w:r>
    </w:p>
    <w:p>
      <w:pPr>
        <w:spacing w:after="120"/>
      </w:pPr>
      <w:r>
        <w:t>AEMET se utiliza como fuente predictiva. Se han incorporado:</w:t>
      </w:r>
    </w:p>
    <w:p>
      <w:pPr>
        <w:spacing w:after="60"/>
        <w:ind w:left="360" w:hanging="259"/>
      </w:pPr>
      <w:r>
        <w:t>• catálogo nacional de municipios;</w:t>
      </w:r>
    </w:p>
    <w:p>
      <w:pPr>
        <w:spacing w:after="60"/>
        <w:ind w:left="360" w:hanging="259"/>
      </w:pPr>
      <w:r>
        <w:t>• inventario de estaciones climatológicas;</w:t>
      </w:r>
    </w:p>
    <w:p>
      <w:pPr>
        <w:spacing w:after="60"/>
        <w:ind w:left="360" w:hanging="259"/>
      </w:pPr>
      <w:r>
        <w:t>• predicción municipal diaria para siete días;</w:t>
      </w:r>
    </w:p>
    <w:p>
      <w:pPr>
        <w:spacing w:after="60"/>
        <w:ind w:left="360" w:hanging="259"/>
      </w:pPr>
      <w:r>
        <w:t>• predicción municipal horaria para aproximadamente 48 horas;</w:t>
      </w:r>
    </w:p>
    <w:p>
      <w:pPr>
        <w:spacing w:after="60"/>
        <w:ind w:left="360" w:hanging="259"/>
      </w:pPr>
      <w:r>
        <w:t>• fecha de elaboración, fecha válida y horizonte de cada predicción;</w:t>
      </w:r>
    </w:p>
    <w:p>
      <w:pPr>
        <w:spacing w:after="60"/>
        <w:ind w:left="360" w:hanging="259"/>
      </w:pPr>
      <w:r>
        <w:t>• temperatura, humedad, precipitación, probabilidad de precipitación, viento, rachas y estado del cielo.</w:t>
      </w:r>
    </w:p>
    <w:p>
      <w:pPr>
        <w:spacing w:after="120"/>
      </w:pPr>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pPr>
        <w:pStyle w:val="Heading4"/>
        <w:keepNext/>
      </w:pPr>
      <w:r>
        <w:rPr>
          <w:rFonts w:ascii="Times New Roman" w:hAnsi="Times New Roman"/>
          <w:color w:val="000000"/>
          <w:sz w:val="24"/>
        </w:rPr>
        <w:t>Necesidades hídricas de SiAR</w:t>
      </w:r>
    </w:p>
    <w:p>
      <w:pPr>
        <w:spacing w:after="120"/>
      </w:pPr>
      <w:r>
        <w:t xml:space="preserve">La web de SiAR permite descargar CSV con </w:t>
      </w:r>
      <w:r>
        <w:rPr>
          <w:rFonts w:ascii="Consolas" w:hAnsi="Consolas"/>
          <w:sz w:val="19"/>
        </w:rPr>
        <w:t>Kc</w:t>
      </w:r>
      <w:r>
        <w:t xml:space="preserve">, ET0, ETc, precipitación efectiva y necesidad neta por cultivo y zona. Este producto no dispone de un endpoint público estable en la API documentada. Se ha incorporado el ciclo del pimiento para </w:t>
      </w:r>
      <w:r>
        <w:rPr>
          <w:rFonts w:ascii="Consolas" w:hAnsi="Consolas"/>
          <w:sz w:val="19"/>
        </w:rPr>
        <w:t>AL01</w:t>
      </w:r>
      <w:r>
        <w:t>,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pPr>
        <w:pStyle w:val="Heading3"/>
        <w:keepNext/>
      </w:pPr>
      <w:r>
        <w:rPr>
          <w:rFonts w:ascii="Times New Roman" w:hAnsi="Times New Roman"/>
          <w:color w:val="000000"/>
          <w:sz w:val="24"/>
        </w:rPr>
        <w:t>4.1.2. Configuración dinámica y alcance del piloto</w:t>
      </w:r>
    </w:p>
    <w:p>
      <w:pPr>
        <w:spacing w:after="120"/>
      </w:pPr>
      <w:r>
        <w:t>El flujo se ha planteado como una ETL parametrizable. En el producto final, el usuario seleccionará la ubicación de la explotación, el cultivo, el periodo y el horizonte de recomendación. Estos valores determinan las consultas y tablas que se generan: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Selección</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Parámetros derivados</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Datos que cambian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Ubicación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estación SiAR y municipio 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Observaciones agroclimáticas y predicciones locales.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Cultivo</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comarca, calendario y curva Kc</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ETc y necesidad hídrica de referencia.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Periodo</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fecha inicial y final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Volumen y campaña histórica descargada.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Horizonte</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diario o detalle horario</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Producto AEMET y granularidad de la recomendación.</w:t>
            </w:r>
          </w:p>
        </w:tc>
      </w:tr>
    </w:tbl>
    <w:p>
      <w:pPr>
        <w:spacing w:after="40"/>
      </w:pPr>
    </w:p>
    <w:p>
      <w:pPr>
        <w:spacing w:after="120"/>
      </w:pPr>
      <w:r>
        <w:t xml:space="preserve">La extracción Python ya admite estación, municipio y fechas mediante parámetros de línea de comandos. La transformación identifica el cultivo, la estación y el periodo a partir del CSV agronómico y sus metadatos. En la configuración actual se fijan </w:t>
      </w:r>
      <w:r>
        <w:rPr>
          <w:rFonts w:ascii="Consolas" w:hAnsi="Consolas"/>
          <w:sz w:val="19"/>
        </w:rPr>
        <w:t>Pimiento</w:t>
      </w:r>
      <w:r>
        <w:t xml:space="preserve">, </w:t>
      </w:r>
      <w:r>
        <w:rPr>
          <w:rFonts w:ascii="Consolas" w:hAnsi="Consolas"/>
          <w:sz w:val="19"/>
        </w:rPr>
        <w:t>Almería</w:t>
      </w:r>
      <w:r>
        <w:t xml:space="preserve">, </w:t>
      </w:r>
      <w:r>
        <w:rPr>
          <w:rFonts w:ascii="Consolas" w:hAnsi="Consolas"/>
          <w:sz w:val="19"/>
        </w:rPr>
        <w:t>AL01</w:t>
      </w:r>
      <w:r>
        <w:t xml:space="preserve">, </w:t>
      </w:r>
      <w:r>
        <w:rPr>
          <w:rFonts w:ascii="Consolas" w:hAnsi="Consolas"/>
          <w:sz w:val="19"/>
        </w:rPr>
        <w:t>04013</w:t>
      </w:r>
      <w:r>
        <w:t xml:space="preserve">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pPr>
        <w:spacing w:after="120"/>
      </w:pPr>
      <w:r>
        <w:t>El flujo lógico es:</w:t>
      </w:r>
    </w:p>
    <w:p>
      <w:pPr>
        <w:spacing w:before="80" w:after="140"/>
        <w:ind w:left="360" w:right="216"/>
        <w:jc w:val="left"/>
        <w:shd w:fill="F2F2F2"/>
      </w:pPr>
      <w:r>
        <w:rPr>
          <w:rFonts w:ascii="Consolas" w:hAnsi="Consolas"/>
          <w:sz w:val="17"/>
        </w:rPr>
        <w:t>selección del usuario</w:t>
        <w:br/>
      </w:r>
      <w:r>
        <w:rPr>
          <w:rFonts w:ascii="Consolas" w:hAnsi="Consolas"/>
          <w:sz w:val="17"/>
        </w:rPr>
        <w:t xml:space="preserve">    -&gt; cultivo, ubicación, estación, municipio y fechas</w:t>
        <w:br/>
      </w:r>
      <w:r>
        <w:rPr>
          <w:rFonts w:ascii="Consolas" w:hAnsi="Consolas"/>
          <w:sz w:val="17"/>
        </w:rPr>
        <w:t xml:space="preserve">    -&gt; extracción de las fuentes correspondientes</w:t>
        <w:br/>
      </w:r>
      <w:r>
        <w:rPr>
          <w:rFonts w:ascii="Consolas" w:hAnsi="Consolas"/>
          <w:sz w:val="17"/>
        </w:rPr>
        <w:t xml:space="preserve">    -&gt; normalización y controles de calidad</w:t>
        <w:br/>
      </w:r>
      <w:r>
        <w:rPr>
          <w:rFonts w:ascii="Consolas" w:hAnsi="Consolas"/>
          <w:sz w:val="17"/>
        </w:rPr>
        <w:t xml:space="preserve">    -&gt; tabla analítica</w:t>
        <w:br/>
      </w:r>
      <w:r>
        <w:rPr>
          <w:rFonts w:ascii="Consolas" w:hAnsi="Consolas"/>
          <w:sz w:val="17"/>
        </w:rPr>
        <w:t xml:space="preserve">    -&gt; predicción y recomendación</w:t>
      </w:r>
    </w:p>
    <w:p>
      <w:pPr>
        <w:pStyle w:val="Heading3"/>
        <w:keepNext/>
      </w:pPr>
      <w:r>
        <w:rPr>
          <w:rFonts w:ascii="Times New Roman" w:hAnsi="Times New Roman"/>
          <w:color w:val="000000"/>
          <w:sz w:val="24"/>
        </w:rPr>
        <w:t>4.1.3. Extracción</w:t>
      </w:r>
    </w:p>
    <w:p>
      <w:pPr>
        <w:spacing w:after="120"/>
      </w:pPr>
      <w:r>
        <w:t>La extracción se implementa en Python mediante clientes independientes para SiAR y AEMET. Las credenciales se leen desde variables de entorno y nunca se escriben en los datos, los mensajes de error o el repositorio.</w:t>
      </w:r>
    </w:p>
    <w:p>
      <w:pPr>
        <w:spacing w:after="120"/>
      </w:pPr>
      <w:r>
        <w:t>Cada archivo extraído contiene un sobre de trazabilidad con:</w:t>
      </w:r>
    </w:p>
    <w:p>
      <w:pPr>
        <w:spacing w:after="60"/>
        <w:ind w:left="360" w:hanging="259"/>
      </w:pPr>
      <w:r>
        <w:t>• versión del esquema;</w:t>
      </w:r>
    </w:p>
    <w:p>
      <w:pPr>
        <w:spacing w:after="60"/>
        <w:ind w:left="360" w:hanging="259"/>
      </w:pPr>
      <w:r>
        <w:t>• fuente y conjunto de datos;</w:t>
      </w:r>
    </w:p>
    <w:p>
      <w:pPr>
        <w:spacing w:after="60"/>
        <w:ind w:left="360" w:hanging="259"/>
      </w:pPr>
      <w:r>
        <w:t>• fecha y hora de ingestión;</w:t>
      </w:r>
    </w:p>
    <w:p>
      <w:pPr>
        <w:spacing w:after="60"/>
        <w:ind w:left="360" w:hanging="259"/>
      </w:pPr>
      <w:r>
        <w:t>• parámetros de consulta sin credenciales;</w:t>
      </w:r>
    </w:p>
    <w:p>
      <w:pPr>
        <w:spacing w:after="60"/>
        <w:ind w:left="360" w:hanging="259"/>
      </w:pPr>
      <w:r>
        <w:t>• número de registros;</w:t>
      </w:r>
    </w:p>
    <w:p>
      <w:pPr>
        <w:spacing w:after="60"/>
        <w:ind w:left="360" w:hanging="259"/>
      </w:pPr>
      <w:r>
        <w:t>• respuesta de datos recibida.</w:t>
      </w:r>
    </w:p>
    <w:p>
      <w:pPr>
        <w:spacing w:after="120"/>
      </w:pPr>
      <w:r>
        <w:t>La escritura es atómica: primero se genera un archivo temporal y solo se sustituye el destino cuando el JSON está completo. Esto evita archivos parcialmente escritos si se interrumpe el proceso.</w:t>
      </w:r>
    </w:p>
    <w:p>
      <w:pPr>
        <w:spacing w:after="120"/>
      </w:pPr>
      <w:r>
        <w:t>La primera ejecución produjo: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Fuente</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Conjunto</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Registros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Estaciones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635</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Códigos de validación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53</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 xml:space="preserve">Histórico diario de </w:t>
            </w:r>
            <w:r>
              <w:rPr>
                <w:rFonts w:ascii="Times New Roman" w:hAnsi="Times New Roman"/>
                <w:color w:val="000000"/>
                <w:sz w:val="16"/>
              </w:rPr>
              <w:t>AL01</w:t>
            </w:r>
            <w:r>
              <w:rPr>
                <w:rFonts w:ascii="Times New Roman" w:hAnsi="Times New Roman"/>
                <w:color w:val="000000"/>
                <w:sz w:val="16"/>
              </w:rPr>
              <w:t>, ciclo 2025</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150</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SiAR web</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Necesidades hídricas de pimiento en </w:t>
            </w:r>
            <w:r>
              <w:rPr>
                <w:rFonts w:ascii="Times New Roman" w:hAnsi="Times New Roman"/>
                <w:color w:val="000000"/>
                <w:sz w:val="16"/>
              </w:rPr>
              <w:t>AL01</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Municipios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8.122</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Estaciones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926</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Predicción diaria</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7 días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Predicción horaria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48 horas</w:t>
            </w:r>
          </w:p>
        </w:tc>
      </w:tr>
    </w:tbl>
    <w:p>
      <w:pPr>
        <w:spacing w:after="40"/>
      </w:pPr>
    </w:p>
    <w:p>
      <w:pPr>
        <w:spacing w:after="120"/>
      </w:pPr>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pPr>
        <w:pStyle w:val="Heading3"/>
        <w:keepNext/>
      </w:pPr>
      <w:r>
        <w:rPr>
          <w:rFonts w:ascii="Times New Roman" w:hAnsi="Times New Roman"/>
          <w:color w:val="000000"/>
          <w:sz w:val="24"/>
        </w:rPr>
        <w:t>4.1.4. Capa raw</w:t>
      </w:r>
    </w:p>
    <w:p>
      <w:pPr>
        <w:spacing w:after="120"/>
      </w:pPr>
      <w:r>
        <w:t xml:space="preserve">La capa </w:t>
      </w:r>
      <w:r>
        <w:rPr>
          <w:rFonts w:ascii="Consolas" w:hAnsi="Consolas"/>
          <w:sz w:val="19"/>
        </w:rPr>
        <w:t>data/raw</w:t>
      </w:r>
      <w:r>
        <w:t xml:space="preserve"> conserva los JSON sin modificar su estructura interna:</w:t>
      </w:r>
    </w:p>
    <w:p>
      <w:pPr>
        <w:spacing w:before="80" w:after="140"/>
        <w:ind w:left="360" w:right="216"/>
        <w:jc w:val="left"/>
        <w:shd w:fill="F2F2F2"/>
      </w:pPr>
      <w:r>
        <w:rPr>
          <w:rFonts w:ascii="Consolas" w:hAnsi="Consolas"/>
          <w:sz w:val="17"/>
        </w:rPr>
        <w:t>data/raw/</w:t>
        <w:br/>
      </w:r>
      <w:r>
        <w:rPr>
          <w:rFonts w:ascii="Consolas" w:hAnsi="Consolas"/>
          <w:sz w:val="17"/>
        </w:rPr>
        <w:t>├── siar/</w:t>
        <w:br/>
      </w:r>
      <w:r>
        <w:rPr>
          <w:rFonts w:ascii="Consolas" w:hAnsi="Consolas"/>
          <w:sz w:val="17"/>
        </w:rPr>
        <w:t>│   ├── catalogs/date=AAAA-MM-DD/</w:t>
        <w:br/>
      </w:r>
      <w:r>
        <w:rPr>
          <w:rFonts w:ascii="Consolas" w:hAnsi="Consolas"/>
          <w:sz w:val="17"/>
        </w:rPr>
        <w:t>│   └── weather/daily/station=AL01/year=AAAA/month=MM/</w:t>
        <w:br/>
      </w:r>
      <w:r>
        <w:rPr>
          <w:rFonts w:ascii="Consolas" w:hAnsi="Consolas"/>
          <w:sz w:val="17"/>
        </w:rPr>
        <w:t>└── aemet/</w:t>
        <w:br/>
      </w:r>
      <w:r>
        <w:rPr>
          <w:rFonts w:ascii="Consolas" w:hAnsi="Consolas"/>
          <w:sz w:val="17"/>
        </w:rPr>
        <w:t xml:space="preserve">    ├── catalogs/date=AAAA-MM-DD/</w:t>
        <w:br/>
      </w:r>
      <w:r>
        <w:rPr>
          <w:rFonts w:ascii="Consolas" w:hAnsi="Consolas"/>
          <w:sz w:val="17"/>
        </w:rPr>
        <w:t xml:space="preserve">    └── forecast/</w:t>
        <w:br/>
      </w:r>
      <w:r>
        <w:rPr>
          <w:rFonts w:ascii="Consolas" w:hAnsi="Consolas"/>
          <w:sz w:val="17"/>
        </w:rPr>
        <w:t xml:space="preserve">        ├── daily/municipality=04013/ingestion_date=AAAA-MM-DD/</w:t>
        <w:br/>
      </w:r>
      <w:r>
        <w:rPr>
          <w:rFonts w:ascii="Consolas" w:hAnsi="Consolas"/>
          <w:sz w:val="17"/>
        </w:rPr>
        <w:t xml:space="preserve">        └── hourly/municipality=04013/ingestion_date=AAAA-MM-DD/</w:t>
        <w:br/>
      </w:r>
      <w:r>
        <w:rPr>
          <w:rFonts w:ascii="Consolas" w:hAnsi="Consolas"/>
          <w:sz w:val="17"/>
        </w:rPr>
        <w:t>data/external/</w:t>
        <w:br/>
      </w:r>
      <w:r>
        <w:rPr>
          <w:rFonts w:ascii="Consolas" w:hAnsi="Consolas"/>
          <w:sz w:val="17"/>
        </w:rPr>
        <w:t>└── siar_necesidades_pimiento_AL01_2025.csv</w:t>
      </w:r>
    </w:p>
    <w:p>
      <w:pPr>
        <w:spacing w:after="120"/>
      </w:pPr>
      <w:r>
        <w:t>La partición por fuente, producto, estación o municipio y fecha permite realizar cargas incrementales sin sobrescribir ejecuciones anteriores. Los archivos raw no se almacenan en Git debido a su volumen. El repositorio conserva el código, las pruebas, los esquemas y la documentación necesarios para reproducirlos.</w:t>
      </w:r>
    </w:p>
    <w:p>
      <w:pPr>
        <w:pStyle w:val="Heading3"/>
        <w:keepNext/>
      </w:pPr>
      <w:r>
        <w:rPr>
          <w:rFonts w:ascii="Times New Roman" w:hAnsi="Times New Roman"/>
          <w:color w:val="000000"/>
          <w:sz w:val="24"/>
        </w:rPr>
        <w:t>4.1.5. Transformación y normalización</w:t>
      </w:r>
    </w:p>
    <w:p>
      <w:pPr>
        <w:spacing w:after="120"/>
      </w:pPr>
      <w:r>
        <w:t>El segundo proceso selecciona la extracción más reciente de cada producto y genera tablas planas. Las reglas implementadas son:</w:t>
      </w:r>
    </w:p>
    <w:p>
      <w:pPr>
        <w:spacing w:after="60"/>
        <w:ind w:left="360" w:hanging="259"/>
      </w:pPr>
      <w:r>
        <w:t xml:space="preserve">1. Normalizar nombres en inglés técnico y formato </w:t>
      </w:r>
      <w:r>
        <w:rPr>
          <w:rFonts w:ascii="Consolas" w:hAnsi="Consolas"/>
          <w:sz w:val="19"/>
        </w:rPr>
        <w:t>snake_case</w:t>
      </w:r>
      <w:r>
        <w:t>.</w:t>
      </w:r>
    </w:p>
    <w:p>
      <w:pPr>
        <w:spacing w:after="60"/>
        <w:ind w:left="360" w:hanging="259"/>
      </w:pPr>
      <w:r>
        <w:t>2. Mantener unidades explícitas en los nombres de las columnas.</w:t>
      </w:r>
    </w:p>
    <w:p>
      <w:pPr>
        <w:spacing w:after="60"/>
        <w:ind w:left="360" w:hanging="259"/>
      </w:pPr>
      <w:r>
        <w:t>3. Convertir textos numéricos a valores numéricos sin convertir ausencias en ceros.</w:t>
      </w:r>
    </w:p>
    <w:p>
      <w:pPr>
        <w:spacing w:after="60"/>
        <w:ind w:left="360" w:hanging="259"/>
      </w:pPr>
      <w:r>
        <w:t>4. Transformar fechas a ISO 8601.</w:t>
      </w:r>
    </w:p>
    <w:p>
      <w:pPr>
        <w:spacing w:after="60"/>
        <w:ind w:left="360" w:hanging="259"/>
      </w:pPr>
      <w:r>
        <w:t>5. Normalizar los códigos municipales a cinco posiciones.</w:t>
      </w:r>
    </w:p>
    <w:p>
      <w:pPr>
        <w:spacing w:after="60"/>
        <w:ind w:left="360" w:hanging="259"/>
      </w:pPr>
      <w:r>
        <w:t xml:space="preserve">6. Conservar el código original cuando AEMET devuelve </w:t>
      </w:r>
      <w:r>
        <w:rPr>
          <w:rFonts w:ascii="Consolas" w:hAnsi="Consolas"/>
          <w:sz w:val="19"/>
        </w:rPr>
        <w:t>4013</w:t>
      </w:r>
      <w:r>
        <w:t xml:space="preserve"> en un producto y </w:t>
      </w:r>
      <w:r>
        <w:rPr>
          <w:rFonts w:ascii="Consolas" w:hAnsi="Consolas"/>
          <w:sz w:val="19"/>
        </w:rPr>
        <w:t>04013</w:t>
      </w:r>
      <w:r>
        <w:t xml:space="preserve"> en otro.</w:t>
      </w:r>
    </w:p>
    <w:p>
      <w:pPr>
        <w:spacing w:after="60"/>
        <w:ind w:left="360" w:hanging="259"/>
      </w:pPr>
      <w:r>
        <w:t>7. Aplanar las listas horarias para obtener una fila por instante válido.</w:t>
      </w:r>
    </w:p>
    <w:p>
      <w:pPr>
        <w:spacing w:after="60"/>
        <w:ind w:left="360" w:hanging="259"/>
      </w:pPr>
      <w:r>
        <w:t xml:space="preserve">8. Separar dirección, velocidad y racha del campo heterogéneo </w:t>
      </w:r>
      <w:r>
        <w:rPr>
          <w:rFonts w:ascii="Consolas" w:hAnsi="Consolas"/>
          <w:sz w:val="19"/>
        </w:rPr>
        <w:t>vientoAndRachaMax</w:t>
      </w:r>
      <w:r>
        <w:t>.</w:t>
      </w:r>
    </w:p>
    <w:p>
      <w:pPr>
        <w:spacing w:after="60"/>
        <w:ind w:left="360" w:hanging="259"/>
      </w:pPr>
      <w:r>
        <w:t>9. Asignar las probabilidades por intervalo a cada hora incluida en el periodo.</w:t>
      </w:r>
    </w:p>
    <w:p>
      <w:pPr>
        <w:spacing w:after="60"/>
        <w:ind w:left="360" w:hanging="259"/>
      </w:pPr>
      <w:r>
        <w:t xml:space="preserve">10. Calcular </w:t>
      </w:r>
      <w:r>
        <w:rPr>
          <w:rFonts w:ascii="Consolas" w:hAnsi="Consolas"/>
          <w:sz w:val="19"/>
        </w:rPr>
        <w:t>horizon_days</w:t>
      </w:r>
      <w:r>
        <w:t xml:space="preserve"> y </w:t>
      </w:r>
      <w:r>
        <w:rPr>
          <w:rFonts w:ascii="Consolas" w:hAnsi="Consolas"/>
          <w:sz w:val="19"/>
        </w:rPr>
        <w:t>horizon_hours</w:t>
      </w:r>
      <w:r>
        <w:t xml:space="preserve"> a partir de la fecha de elaboración.</w:t>
      </w:r>
    </w:p>
    <w:p>
      <w:pPr>
        <w:spacing w:after="60"/>
        <w:ind w:left="360" w:hanging="259"/>
      </w:pPr>
      <w:r>
        <w:t>11. Marcar si una hora seguía siendo futura en el momento de publicación.</w:t>
      </w:r>
    </w:p>
    <w:p>
      <w:pPr>
        <w:spacing w:after="60"/>
        <w:ind w:left="360" w:hanging="259"/>
      </w:pPr>
      <w:r>
        <w:t>12. Conservar archivo y fecha de ingestión como columnas de procedencia.</w:t>
      </w:r>
    </w:p>
    <w:p>
      <w:pPr>
        <w:spacing w:after="60"/>
        <w:ind w:left="360" w:hanging="259"/>
      </w:pPr>
      <w:r>
        <w:t xml:space="preserve">13. Convertir el CSV agronómico con separador </w:t>
      </w:r>
      <w:r>
        <w:rPr>
          <w:rFonts w:ascii="Consolas" w:hAnsi="Consolas"/>
          <w:sz w:val="19"/>
        </w:rPr>
        <w:t>;</w:t>
      </w:r>
      <w:r>
        <w:t xml:space="preserve"> y coma decimal sin perder los valores ausentes.</w:t>
      </w:r>
    </w:p>
    <w:p>
      <w:pPr>
        <w:spacing w:after="60"/>
        <w:ind w:left="360" w:hanging="259"/>
      </w:pPr>
      <w:r>
        <w:t xml:space="preserve">14. Comprobar las identidades </w:t>
      </w:r>
      <w:r>
        <w:rPr>
          <w:rFonts w:ascii="Consolas" w:hAnsi="Consolas"/>
          <w:sz w:val="19"/>
        </w:rPr>
        <w:t>ETc ≈ Kc × ET0</w:t>
      </w:r>
      <w:r>
        <w:t xml:space="preserve"> y </w:t>
      </w:r>
      <w:r>
        <w:rPr>
          <w:rFonts w:ascii="Consolas" w:hAnsi="Consolas"/>
          <w:sz w:val="19"/>
        </w:rPr>
        <w:t>necesidad neta ≈ max(ETc − Pe, 0)</w:t>
      </w:r>
      <w:r>
        <w:t xml:space="preserve"> con tolerancia de redondeo.</w:t>
      </w:r>
    </w:p>
    <w:p>
      <w:pPr>
        <w:spacing w:after="120"/>
      </w:pPr>
      <w:r>
        <w:t>No se combinan todavía las observaciones SiAR con las predicciones AEMET. Una observación describe lo que ocurrió y una predicción describe lo que se esperaba en un momento concreto. La unión para evaluación se realizará posteriormente mediante fecha válida, fecha de emisión y horizonte.</w:t>
      </w:r>
    </w:p>
    <w:p>
      <w:pPr>
        <w:pStyle w:val="Heading3"/>
        <w:keepNext/>
      </w:pPr>
      <w:r>
        <w:rPr>
          <w:rFonts w:ascii="Times New Roman" w:hAnsi="Times New Roman"/>
          <w:color w:val="000000"/>
          <w:sz w:val="24"/>
        </w:rPr>
        <w:t>4.1.6. Tablas interim</w:t>
      </w:r>
    </w:p>
    <w:p>
      <w:pPr>
        <w:spacing w:after="120"/>
      </w:pPr>
      <w:r>
        <w:t>El proceso genera cinco CSV codificados en UTF-8:</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Tabla</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Granularidad</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Filas iniciales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Uso previsto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siar_weather_daily.csv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Estación y fecha observada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Histórico agroclimático.</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siar_crop_water_needs_daily.csv</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Estación, cultivo y fecha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Baseline de necesidad neta de riego.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aemet_forecast_daily.csv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Municipio, emisión y fecha válida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Planificación de varios días.</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aemet_forecast_hourly.csv</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Municipio, emisión e instante válido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Decisiones de corto plazo.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quality_summary.csv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Conjunto de datos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4</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Control de duplicados, cobertura y avisos.</w:t>
            </w:r>
          </w:p>
        </w:tc>
      </w:tr>
    </w:tbl>
    <w:p>
      <w:pPr>
        <w:spacing w:after="40"/>
      </w:pPr>
    </w:p>
    <w:p>
      <w:pPr>
        <w:spacing w:after="120"/>
      </w:pPr>
      <w:r>
        <w:t>Ejemplo de la tabla diaria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Fecha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Temperatura media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Humedad media (%)</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ET0 (mm/día)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Calidad</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01/05/2025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19,62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75,60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4,72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PASS</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02/05/2025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21,47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59,55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5,57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PASS</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03/05/2025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19,93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58,28</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5,27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PASS</w:t>
            </w:r>
          </w:p>
        </w:tc>
      </w:tr>
    </w:tbl>
    <w:p>
      <w:pPr>
        <w:spacing w:after="40"/>
      </w:pPr>
    </w:p>
    <w:p>
      <w:pPr>
        <w:spacing w:after="120"/>
      </w:pPr>
      <w:r>
        <w:t>Ejemplo de necesidades hídricas del pimiento: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val="true"/>
          <w:cantSplit/>
        </w:trPr>
        <w:tc>
          <w:tcPr>
            <w:tcW w:type="dxa" w:w="1504"/>
            <w:vAlign w:val="center"/>
            <w:tcMar>
              <w:top w:w="90" w:type="dxa"/>
              <w:start w:w="100" w:type="dxa"/>
              <w:bottom w:w="90" w:type="dxa"/>
              <w:end w:w="100" w:type="dxa"/>
            </w:tcMar>
            <w:shd w:fill="1F4E78"/>
          </w:tcPr>
          <w:p>
            <w:pPr>
              <w:jc w:val="left"/>
            </w:pPr>
            <w:r>
              <w:rPr>
                <w:rFonts w:ascii="Times New Roman" w:hAnsi="Times New Roman"/>
                <w:b/>
                <w:color w:val="FFFFFF"/>
                <w:sz w:val="16"/>
              </w:rPr>
              <w:t>Fecha</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Kc</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ET0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ETc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Pe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Necesidad neta (mm)</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01/05/2025</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4,72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2,36</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01/07/2025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0,90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6,05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5,45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5,45</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01/08/2025</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01/09/2025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4,56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1,37</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1,37</w:t>
            </w:r>
          </w:p>
        </w:tc>
      </w:tr>
    </w:tbl>
    <w:p>
      <w:pPr>
        <w:spacing w:after="40"/>
      </w:pPr>
    </w:p>
    <w:p>
      <w:pPr>
        <w:spacing w:after="120"/>
      </w:pPr>
      <w:r>
        <w:t>Ejemplo de la predicción diaria AEMET: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Fecha válida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Horizonte</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Tmin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Tmax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Probabilidad máxima de lluvia</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24/09/2026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D+0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25/09/2026</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26/09/2026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D+2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28/09/2026</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D+4</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30 %</w:t>
            </w:r>
          </w:p>
        </w:tc>
      </w:tr>
    </w:tbl>
    <w:p>
      <w:pPr>
        <w:spacing w:after="40"/>
      </w:pPr>
    </w:p>
    <w:p>
      <w:pPr>
        <w:pStyle w:val="Heading3"/>
        <w:keepNext/>
      </w:pPr>
      <w:r>
        <w:rPr>
          <w:rFonts w:ascii="Times New Roman" w:hAnsi="Times New Roman"/>
          <w:color w:val="000000"/>
          <w:sz w:val="24"/>
        </w:rPr>
        <w:t>4.1.7. Volumen antes y después de la limpieza</w:t>
      </w:r>
    </w:p>
    <w:p>
      <w:pPr>
        <w:spacing w:after="120"/>
      </w:pPr>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val="true"/>
          <w:cantSplit/>
        </w:trPr>
        <w:tc>
          <w:tcPr>
            <w:tcW w:type="dxa" w:w="1128"/>
            <w:vAlign w:val="center"/>
            <w:tcMar>
              <w:top w:w="90" w:type="dxa"/>
              <w:start w:w="100" w:type="dxa"/>
              <w:bottom w:w="90" w:type="dxa"/>
              <w:end w:w="100" w:type="dxa"/>
            </w:tcMar>
            <w:shd w:fill="1F4E78"/>
          </w:tcPr>
          <w:p>
            <w:pPr>
              <w:jc w:val="left"/>
            </w:pPr>
            <w:r>
              <w:rPr>
                <w:rFonts w:ascii="Times New Roman" w:hAnsi="Times New Roman"/>
                <w:b/>
                <w:color w:val="FFFFFF"/>
                <w:sz w:val="16"/>
              </w:rPr>
              <w:t>Etapa</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Conjunto</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Entrada o salida</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Filas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Variables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Filas válidas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Avisos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Duplicados</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SiAR meteorológico</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JSON original</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Raw externo</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Necesidades del pimiento</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 oficial</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AEMET diaria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Objeto municipal</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AEMET horaria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Objeto municipal</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SiAR meteorológico normalizado</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148 con ET0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Necesidades hídricas normalizadas</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148 con necesidad neta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Predicción AEMET diaria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Predicción AEMET horaria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45 sin avisos</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Processed</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Tabla analítica integrada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88</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148 etiquetas</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bl>
    <w:p>
      <w:pPr>
        <w:spacing w:after="40"/>
      </w:pPr>
    </w:p>
    <w:p>
      <w:pPr>
        <w:spacing w:after="120"/>
      </w:pPr>
      <w:r>
        <w:t xml:space="preserve">En AEMET, una fila raw representa un objeto municipal que contiene una serie anidada. La normalización lo despliega en siete fechas diarias y 48 instantes horarios; por tanto, el aumento de filas no es una duplicación. La tabla </w:t>
      </w:r>
      <w:r>
        <w:rPr>
          <w:rFonts w:ascii="Consolas" w:hAnsi="Consolas"/>
          <w:sz w:val="19"/>
        </w:rPr>
        <w:t>processed</w:t>
      </w:r>
      <w:r>
        <w:t xml:space="preserve">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pPr>
        <w:spacing w:after="120"/>
      </w:pPr>
      <w:r>
        <w:t xml:space="preserve">Estas cifras se regeneran mediante </w:t>
      </w:r>
      <w:r>
        <w:rPr>
          <w:rFonts w:ascii="Consolas" w:hAnsi="Consolas"/>
          <w:sz w:val="19"/>
        </w:rPr>
        <w:t>python -m src.analysis.build_etl_audit_4_1</w:t>
      </w:r>
      <w:r>
        <w:t xml:space="preserve"> y quedan registradas en </w:t>
      </w:r>
      <w:r>
        <w:rPr>
          <w:rFonts w:ascii="Consolas" w:hAnsi="Consolas"/>
          <w:sz w:val="19"/>
        </w:rPr>
        <w:t>docs/data_samples/etl_volume_summary_4_1.csv</w:t>
      </w:r>
      <w:r>
        <w:t>. De esta forma, la tabla de la memoria puede contrastarse con los archivos reales del proyecto.</w:t>
      </w:r>
    </w:p>
    <w:p>
      <w:pPr>
        <w:pStyle w:val="Heading3"/>
        <w:keepNext/>
      </w:pPr>
      <w:r>
        <w:rPr>
          <w:rFonts w:ascii="Times New Roman" w:hAnsi="Times New Roman"/>
          <w:color w:val="000000"/>
          <w:sz w:val="24"/>
        </w:rPr>
        <w:t>4.1.8. Controles de calidad</w:t>
      </w:r>
    </w:p>
    <w:p>
      <w:pPr>
        <w:spacing w:after="120"/>
      </w:pPr>
      <w:r>
        <w:t xml:space="preserve">Cada registro recibe </w:t>
      </w:r>
      <w:r>
        <w:rPr>
          <w:rFonts w:ascii="Consolas" w:hAnsi="Consolas"/>
          <w:sz w:val="19"/>
        </w:rPr>
        <w:t>quality_status</w:t>
      </w:r>
      <w:r>
        <w:t xml:space="preserve"> y </w:t>
      </w:r>
      <w:r>
        <w:rPr>
          <w:rFonts w:ascii="Consolas" w:hAnsi="Consolas"/>
          <w:sz w:val="19"/>
        </w:rPr>
        <w:t>quality_issues</w:t>
      </w:r>
      <w:r>
        <w:t>. Se comprueban:</w:t>
      </w:r>
    </w:p>
    <w:p>
      <w:pPr>
        <w:spacing w:after="60"/>
        <w:ind w:left="360" w:hanging="259"/>
      </w:pPr>
      <w:r>
        <w:t>• presencia de variables críticas;</w:t>
      </w:r>
    </w:p>
    <w:p>
      <w:pPr>
        <w:spacing w:after="60"/>
        <w:ind w:left="360" w:hanging="259"/>
      </w:pPr>
      <w:r>
        <w:t>• orden lógico entre temperatura mínima, media y máxima;</w:t>
      </w:r>
    </w:p>
    <w:p>
      <w:pPr>
        <w:spacing w:after="60"/>
        <w:ind w:left="360" w:hanging="259"/>
      </w:pPr>
      <w:r>
        <w:t>• humedad entre 0 % y 100 %;</w:t>
      </w:r>
    </w:p>
    <w:p>
      <w:pPr>
        <w:spacing w:after="60"/>
        <w:ind w:left="360" w:hanging="259"/>
      </w:pPr>
      <w:r>
        <w:t>• precipitación, viento, radiación y ET0 no negativos;</w:t>
      </w:r>
    </w:p>
    <w:p>
      <w:pPr>
        <w:spacing w:after="60"/>
        <w:ind w:left="360" w:hanging="259"/>
      </w:pPr>
      <w:r>
        <w:t>• probabilidad entre 0 % y 100 %;</w:t>
      </w:r>
    </w:p>
    <w:p>
      <w:pPr>
        <w:spacing w:after="60"/>
        <w:ind w:left="360" w:hanging="259"/>
      </w:pPr>
      <w:r>
        <w:t>• unicidad de las claves lógicas;</w:t>
      </w:r>
    </w:p>
    <w:p>
      <w:pPr>
        <w:spacing w:after="60"/>
        <w:ind w:left="360" w:hanging="259"/>
      </w:pPr>
      <w:r>
        <w:t>• continuidad del calendario entre la primera y la última fecha;</w:t>
      </w:r>
    </w:p>
    <w:p>
      <w:pPr>
        <w:spacing w:after="60"/>
        <w:ind w:left="360" w:hanging="259"/>
      </w:pPr>
      <w:r>
        <w:t>• trazabilidad hasta el archivo raw.</w:t>
      </w:r>
    </w:p>
    <w:p>
      <w:pPr>
        <w:spacing w:after="120"/>
      </w:pPr>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pPr>
        <w:spacing w:after="120"/>
      </w:pPr>
      <w:r>
        <w:t>El resumen obtenido fue: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Tabla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Filas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Duplicados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Filas con avisos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Fechas ausentes</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SiAR diaria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Necesidades hídricas de pimiento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AEMET diaria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AEMET horaria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bl>
    <w:p>
      <w:pPr>
        <w:spacing w:after="40"/>
      </w:pPr>
    </w:p>
    <w:p>
      <w:pPr>
        <w:pStyle w:val="Heading3"/>
        <w:keepNext/>
      </w:pPr>
      <w:r>
        <w:rPr>
          <w:rFonts w:ascii="Times New Roman" w:hAnsi="Times New Roman"/>
          <w:color w:val="000000"/>
          <w:sz w:val="24"/>
        </w:rPr>
        <w:t>4.1.9. Almacenamiento y escalabilidad</w:t>
      </w:r>
    </w:p>
    <w:p>
      <w:pPr>
        <w:spacing w:after="120"/>
      </w:pPr>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pPr>
        <w:spacing w:after="120"/>
      </w:pPr>
      <w:r>
        <w:t>La futura base MySQL almacenará catálogos, recomendaciones y metadatos que deban consultarse transaccionalmente. Los históricos voluminosos y artefactos de modelo podrán permanecer en almacenamiento de objetos. Esta separación evita utilizar la base transaccional como repositorio de archivos y mantiene una arquitectura compatible con ejecución local y despliegue cloud.</w:t>
      </w:r>
    </w:p>
    <w:p>
      <w:pPr>
        <w:pStyle w:val="Heading3"/>
        <w:keepNext/>
      </w:pPr>
      <w:r>
        <w:rPr>
          <w:rFonts w:ascii="Times New Roman" w:hAnsi="Times New Roman"/>
          <w:color w:val="000000"/>
          <w:sz w:val="24"/>
        </w:rPr>
        <w:t>4.1.10. Reproducibilidad y seguridad</w:t>
      </w:r>
    </w:p>
    <w:p>
      <w:pPr>
        <w:spacing w:after="120"/>
      </w:pPr>
      <w:r>
        <w:t>El proceso se reproduce mediante:</w:t>
      </w:r>
    </w:p>
    <w:p>
      <w:pPr>
        <w:spacing w:before="80" w:after="140"/>
        <w:ind w:left="360" w:right="216"/>
        <w:jc w:val="left"/>
        <w:shd w:fill="F2F2F2"/>
      </w:pPr>
      <w:r>
        <w:rPr>
          <w:rFonts w:ascii="Consolas" w:hAnsi="Consolas"/>
          <w:sz w:val="17"/>
        </w:rPr>
        <w:t>python -m src.data.extract_pilot</w:t>
        <w:br/>
      </w:r>
      <w:r>
        <w:rPr>
          <w:rFonts w:ascii="Consolas" w:hAnsi="Consolas"/>
          <w:sz w:val="17"/>
        </w:rPr>
        <w:t>python -m src.data.extract_siar_history --start-date 2025-05-01 --end-date 2025-09-30</w:t>
        <w:br/>
      </w:r>
      <w:r>
        <w:rPr>
          <w:rFonts w:ascii="Consolas" w:hAnsi="Consolas"/>
          <w:sz w:val="17"/>
        </w:rPr>
        <w:t>python -m src.data.transform_interim</w:t>
        <w:br/>
      </w:r>
      <w:r>
        <w:rPr>
          <w:rFonts w:ascii="Consolas" w:hAnsi="Consolas"/>
          <w:sz w:val="17"/>
        </w:rPr>
        <w:t>python -m src.analysis.build_etl_audit_4_1</w:t>
        <w:br/>
      </w:r>
      <w:r>
        <w:rPr>
          <w:rFonts w:ascii="Consolas" w:hAnsi="Consolas"/>
          <w:sz w:val="17"/>
        </w:rPr>
        <w:t>python -m src.visualization.build_etl_visual</w:t>
      </w:r>
    </w:p>
    <w:p>
      <w:pPr>
        <w:spacing w:after="120"/>
      </w:pPr>
      <w:r>
        <w:t>Las pruebas automatizadas verifican construcción de consultas, fechas, descarga en dos pasos, ocultación de credenciales, validación de URLs, estructura de los archivos raw, normalización de códigos, cálculo de horizontes y aplanado de viento y rachas.</w:t>
      </w:r>
    </w:p>
    <w:p>
      <w:pPr>
        <w:spacing w:after="120"/>
      </w:pPr>
      <w:r>
        <w:t xml:space="preserve">Las credenciales se guardan únicamente en </w:t>
      </w:r>
      <w:r>
        <w:rPr>
          <w:rFonts w:ascii="Consolas" w:hAnsi="Consolas"/>
          <w:sz w:val="19"/>
        </w:rPr>
        <w:t>.env</w:t>
      </w:r>
      <w:r>
        <w:t xml:space="preserve">, excluido de Git. El archivo </w:t>
      </w:r>
      <w:r>
        <w:rPr>
          <w:rFonts w:ascii="Consolas" w:hAnsi="Consolas"/>
          <w:sz w:val="19"/>
        </w:rPr>
        <w:t>.env.example</w:t>
      </w:r>
      <w:r>
        <w:t xml:space="preserve"> documenta los nombres de las variables sin incluir valores reales.</w:t>
      </w:r>
    </w:p>
    <w:p>
      <w:pPr>
        <w:pStyle w:val="Heading3"/>
        <w:keepNext/>
      </w:pPr>
      <w:r>
        <w:rPr>
          <w:rFonts w:ascii="Times New Roman" w:hAnsi="Times New Roman"/>
          <w:color w:val="000000"/>
          <w:sz w:val="24"/>
        </w:rPr>
        <w:t>4.1.11. Limitaciones</w:t>
      </w:r>
    </w:p>
    <w:p>
      <w:pPr>
        <w:spacing w:after="120"/>
      </w:pPr>
      <w:r>
        <w:t>El ciclo completo permite validar la integración, pero un único año y una sola estación todavía no son suficientes para entrenar un modelo generalizable. Antes del modelado se deberán añadir varias campañas y, si el alcance lo exige, otras estaciones de Almería. También se verificará la unidad contractual de cada variable con la documentación oficial. SiAR y AEMET representan el entorno de sus estaciones o municipios, por lo que la recomendación deberá declarar esta limitación e incorporar datos locales de parcela cuando estén disponibles.</w:t>
      </w:r>
    </w:p>
    <w:p>
      <w:pPr>
        <w:pStyle w:val="Heading2"/>
      </w:pPr>
      <w:r>
        <w:t>4.2. Análisis exploratorio y preparación de variables</w:t>
      </w:r>
    </w:p>
    <w:p>
      <w:pPr>
        <w:spacing w:after="120" w:line="276" w:lineRule="auto"/>
        <w:jc w:val="both"/>
      </w:pPr>
      <w:r>
        <w:rPr>
          <w:rFonts w:ascii="Times New Roman" w:hAnsi="Times New Roman"/>
          <w:color w:val="000000"/>
          <w:sz w:val="24"/>
        </w:rP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pPr>
        <w:keepNext/>
        <w:spacing w:before="200" w:after="80"/>
      </w:pPr>
      <w:r>
        <w:rPr>
          <w:rFonts w:ascii="Times New Roman" w:hAnsi="Times New Roman"/>
          <w:b/>
          <w:color w:val="000000"/>
          <w:sz w:val="24"/>
        </w:rPr>
        <w:t>4.2.1. Alcance y unidad de análisis</w:t>
      </w:r>
    </w:p>
    <w:p>
      <w:pPr>
        <w:spacing w:after="120" w:line="276" w:lineRule="auto"/>
        <w:jc w:val="both"/>
      </w:pPr>
      <w:r>
        <w:rPr>
          <w:rFonts w:ascii="Times New Roman" w:hAnsi="Times New Roman"/>
          <w:color w:val="000000"/>
          <w:sz w:val="24"/>
        </w:rP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112"/>
            <w:vAlign w:val="center"/>
            <w:shd w:fill="1F4E79"/>
          </w:tcPr>
          <w:p>
            <w:pPr>
              <w:spacing w:after="0"/>
              <w:jc w:val="center"/>
            </w:pPr>
            <w:r>
              <w:rPr>
                <w:rFonts w:ascii="Arial" w:hAnsi="Arial"/>
                <w:b/>
                <w:color w:val="FFFFFF"/>
                <w:sz w:val="18"/>
              </w:rPr>
              <w:t>Indicador</w:t>
            </w:r>
          </w:p>
        </w:tc>
        <w:tc>
          <w:tcPr>
            <w:tcW w:type="dxa" w:w="3671"/>
            <w:vAlign w:val="center"/>
            <w:shd w:fill="1F4E79"/>
          </w:tcPr>
          <w:p>
            <w:pPr>
              <w:spacing w:after="0"/>
              <w:jc w:val="center"/>
            </w:pPr>
            <w:r>
              <w:rPr>
                <w:rFonts w:ascii="Arial" w:hAnsi="Arial"/>
                <w:b/>
                <w:color w:val="FFFFFF"/>
                <w:sz w:val="18"/>
              </w:rPr>
              <w:t>Resultado</w:t>
            </w:r>
          </w:p>
        </w:tc>
      </w:tr>
      <w:tr>
        <w:trPr>
          <w:cantSplit/>
        </w:trPr>
        <w:tc>
          <w:tcPr>
            <w:tcW w:type="dxa" w:w="5112"/>
            <w:vAlign w:val="center"/>
          </w:tcPr>
          <w:p>
            <w:pPr>
              <w:spacing w:after="0"/>
              <w:jc w:val="left"/>
            </w:pPr>
            <w:r>
              <w:rPr>
                <w:rFonts w:ascii="Arial" w:hAnsi="Arial"/>
                <w:color w:val="000000"/>
                <w:sz w:val="18"/>
              </w:rPr>
              <w:t>Periodo esperado</w:t>
            </w:r>
          </w:p>
        </w:tc>
        <w:tc>
          <w:tcPr>
            <w:tcW w:type="dxa" w:w="3671"/>
            <w:vAlign w:val="center"/>
          </w:tcPr>
          <w:p>
            <w:pPr>
              <w:spacing w:after="0"/>
              <w:jc w:val="center"/>
            </w:pPr>
            <w:r>
              <w:rPr>
                <w:rFonts w:ascii="Arial" w:hAnsi="Arial"/>
                <w:color w:val="000000"/>
                <w:sz w:val="18"/>
              </w:rPr>
              <w:t>01/05/2025–30/09/2025</w:t>
            </w:r>
          </w:p>
        </w:tc>
      </w:tr>
      <w:tr>
        <w:trPr>
          <w:cantSplit/>
        </w:trPr>
        <w:tc>
          <w:tcPr>
            <w:tcW w:type="dxa" w:w="5112"/>
            <w:vAlign w:val="center"/>
            <w:shd w:fill="EAF1F8"/>
          </w:tcPr>
          <w:p>
            <w:pPr>
              <w:spacing w:after="0"/>
              <w:jc w:val="left"/>
            </w:pPr>
            <w:r>
              <w:rPr>
                <w:rFonts w:ascii="Arial" w:hAnsi="Arial"/>
                <w:color w:val="000000"/>
                <w:sz w:val="18"/>
              </w:rPr>
              <w:t>Días naturales esperados</w:t>
            </w:r>
          </w:p>
        </w:tc>
        <w:tc>
          <w:tcPr>
            <w:tcW w:type="dxa" w:w="3671"/>
            <w:vAlign w:val="center"/>
            <w:shd w:fill="EAF1F8"/>
          </w:tcPr>
          <w:p>
            <w:pPr>
              <w:spacing w:after="0"/>
              <w:jc w:val="center"/>
            </w:pPr>
            <w:r>
              <w:rPr>
                <w:rFonts w:ascii="Arial" w:hAnsi="Arial"/>
                <w:color w:val="000000"/>
                <w:sz w:val="18"/>
              </w:rPr>
              <w:t>153</w:t>
            </w:r>
          </w:p>
        </w:tc>
      </w:tr>
      <w:tr>
        <w:trPr>
          <w:cantSplit/>
        </w:trPr>
        <w:tc>
          <w:tcPr>
            <w:tcW w:type="dxa" w:w="5112"/>
            <w:vAlign w:val="center"/>
          </w:tcPr>
          <w:p>
            <w:pPr>
              <w:spacing w:after="0"/>
              <w:jc w:val="left"/>
            </w:pPr>
            <w:r>
              <w:rPr>
                <w:rFonts w:ascii="Arial" w:hAnsi="Arial"/>
                <w:color w:val="000000"/>
                <w:sz w:val="18"/>
              </w:rPr>
              <w:t>Días observados</w:t>
            </w:r>
          </w:p>
        </w:tc>
        <w:tc>
          <w:tcPr>
            <w:tcW w:type="dxa" w:w="3671"/>
            <w:vAlign w:val="center"/>
          </w:tcPr>
          <w:p>
            <w:pPr>
              <w:spacing w:after="0"/>
              <w:jc w:val="center"/>
            </w:pPr>
            <w:r>
              <w:rPr>
                <w:rFonts w:ascii="Arial" w:hAnsi="Arial"/>
                <w:color w:val="000000"/>
                <w:sz w:val="18"/>
              </w:rPr>
              <w:t>150</w:t>
            </w:r>
          </w:p>
        </w:tc>
      </w:tr>
      <w:tr>
        <w:trPr>
          <w:cantSplit/>
        </w:trPr>
        <w:tc>
          <w:tcPr>
            <w:tcW w:type="dxa" w:w="5112"/>
            <w:vAlign w:val="center"/>
            <w:shd w:fill="EAF1F8"/>
          </w:tcPr>
          <w:p>
            <w:pPr>
              <w:spacing w:after="0"/>
              <w:jc w:val="left"/>
            </w:pPr>
            <w:r>
              <w:rPr>
                <w:rFonts w:ascii="Arial" w:hAnsi="Arial"/>
                <w:color w:val="000000"/>
                <w:sz w:val="18"/>
              </w:rPr>
              <w:t>Fechas ausentes</w:t>
            </w:r>
          </w:p>
        </w:tc>
        <w:tc>
          <w:tcPr>
            <w:tcW w:type="dxa" w:w="3671"/>
            <w:vAlign w:val="center"/>
            <w:shd w:fill="EAF1F8"/>
          </w:tcPr>
          <w:p>
            <w:pPr>
              <w:spacing w:after="0"/>
              <w:jc w:val="center"/>
            </w:pPr>
            <w:r>
              <w:rPr>
                <w:rFonts w:ascii="Arial" w:hAnsi="Arial"/>
                <w:color w:val="000000"/>
                <w:sz w:val="18"/>
              </w:rPr>
              <w:t>18, 19 y 20 de julio de 2025</w:t>
            </w:r>
          </w:p>
        </w:tc>
      </w:tr>
      <w:tr>
        <w:trPr>
          <w:cantSplit/>
        </w:trPr>
        <w:tc>
          <w:tcPr>
            <w:tcW w:type="dxa" w:w="5112"/>
            <w:vAlign w:val="center"/>
          </w:tcPr>
          <w:p>
            <w:pPr>
              <w:spacing w:after="0"/>
              <w:jc w:val="left"/>
            </w:pPr>
            <w:r>
              <w:rPr>
                <w:rFonts w:ascii="Arial" w:hAnsi="Arial"/>
                <w:color w:val="000000"/>
                <w:sz w:val="18"/>
              </w:rPr>
              <w:t>Claves duplicadas</w:t>
            </w:r>
          </w:p>
        </w:tc>
        <w:tc>
          <w:tcPr>
            <w:tcW w:type="dxa" w:w="3671"/>
            <w:vAlign w:val="center"/>
          </w:tcPr>
          <w:p>
            <w:pPr>
              <w:spacing w:after="0"/>
              <w:jc w:val="center"/>
            </w:pPr>
            <w:r>
              <w:rPr>
                <w:rFonts w:ascii="Arial" w:hAnsi="Arial"/>
                <w:color w:val="000000"/>
                <w:sz w:val="18"/>
              </w:rPr>
              <w:t>0</w:t>
            </w:r>
          </w:p>
        </w:tc>
      </w:tr>
      <w:tr>
        <w:trPr>
          <w:cantSplit/>
        </w:trPr>
        <w:tc>
          <w:tcPr>
            <w:tcW w:type="dxa" w:w="5112"/>
            <w:vAlign w:val="center"/>
            <w:shd w:fill="EAF1F8"/>
          </w:tcPr>
          <w:p>
            <w:pPr>
              <w:spacing w:after="0"/>
              <w:jc w:val="left"/>
            </w:pPr>
            <w:r>
              <w:rPr>
                <w:rFonts w:ascii="Arial" w:hAnsi="Arial"/>
                <w:color w:val="000000"/>
                <w:sz w:val="18"/>
              </w:rPr>
              <w:t>Filas PASS / WARN</w:t>
            </w:r>
          </w:p>
        </w:tc>
        <w:tc>
          <w:tcPr>
            <w:tcW w:type="dxa" w:w="3671"/>
            <w:vAlign w:val="center"/>
            <w:shd w:fill="EAF1F8"/>
          </w:tcPr>
          <w:p>
            <w:pPr>
              <w:spacing w:after="0"/>
              <w:jc w:val="center"/>
            </w:pPr>
            <w:r>
              <w:rPr>
                <w:rFonts w:ascii="Arial" w:hAnsi="Arial"/>
                <w:color w:val="000000"/>
                <w:sz w:val="18"/>
              </w:rPr>
              <w:t>148 / 2</w:t>
            </w:r>
          </w:p>
        </w:tc>
      </w:tr>
      <w:tr>
        <w:trPr>
          <w:cantSplit/>
        </w:trPr>
        <w:tc>
          <w:tcPr>
            <w:tcW w:type="dxa" w:w="5112"/>
            <w:vAlign w:val="center"/>
          </w:tcPr>
          <w:p>
            <w:pPr>
              <w:spacing w:after="0"/>
              <w:jc w:val="left"/>
            </w:pPr>
            <w:r>
              <w:rPr>
                <w:rFonts w:ascii="Arial" w:hAnsi="Arial"/>
                <w:color w:val="000000"/>
                <w:sz w:val="18"/>
              </w:rPr>
              <w:t>Valores válidos de la variable objetivo</w:t>
            </w:r>
          </w:p>
        </w:tc>
        <w:tc>
          <w:tcPr>
            <w:tcW w:type="dxa" w:w="3671"/>
            <w:vAlign w:val="center"/>
          </w:tcPr>
          <w:p>
            <w:pPr>
              <w:spacing w:after="0"/>
              <w:jc w:val="center"/>
            </w:pPr>
            <w:r>
              <w:rPr>
                <w:rFonts w:ascii="Arial" w:hAnsi="Arial"/>
                <w:color w:val="000000"/>
                <w:sz w:val="18"/>
              </w:rPr>
              <w:t>148</w:t>
            </w:r>
          </w:p>
        </w:tc>
      </w:tr>
    </w:tbl>
    <w:p>
      <w:pPr>
        <w:spacing w:after="40"/>
      </w:pPr>
    </w:p>
    <w:p>
      <w:pPr>
        <w:keepNext w:val="0"/>
        <w:spacing w:after="160"/>
        <w:jc w:val="center"/>
      </w:pPr>
      <w:r>
        <w:rPr>
          <w:rFonts w:ascii="Times New Roman" w:hAnsi="Times New Roman"/>
          <w:i/>
          <w:color w:val="444444"/>
          <w:sz w:val="20"/>
        </w:rPr>
        <w:t>Tabla 4.7. Cobertura y calidad del conjunto de datos del piloto.</w:t>
      </w:r>
    </w:p>
    <w:p>
      <w:pPr>
        <w:spacing w:after="120" w:line="276" w:lineRule="auto"/>
        <w:jc w:val="both"/>
      </w:pPr>
      <w:r>
        <w:rPr>
          <w:rFonts w:ascii="Times New Roman" w:hAnsi="Times New Roman"/>
          <w:color w:val="000000"/>
          <w:sz w:val="24"/>
        </w:rP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presentan ausencia de ET0 y de las magnitudes derivadas; se mantienen para trazabilidad, pero deberán excluirse o tratarse dentro de cada partición de entrenamiento.</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508507"/>
            <wp:docPr id="2" name="Picture 2"/>
            <wp:cNvGraphicFramePr>
              <a:graphicFrameLocks noChangeAspect="1"/>
            </wp:cNvGraphicFramePr>
            <a:graphic>
              <a:graphicData uri="http://schemas.openxmlformats.org/drawingml/2006/picture">
                <pic:pic>
                  <pic:nvPicPr>
                    <pic:cNvPr id="0" name="image.png"/>
                    <pic:cNvPicPr/>
                  </pic:nvPicPr>
                  <pic:blipFill>
                    <a:blip ns1:embed="rId8"/>
                    <a:stretch>
                      <a:fillRect/>
                    </a:stretch>
                  </pic:blipFill>
                  <pic:spPr>
                    <a:xfrm>
                      <a:off x="0" y="0"/>
                      <a:ext cx="5532120" cy="3508507"/>
                    </a:xfrm>
                    <a:prstGeom prst="rect"/>
                  </pic:spPr>
                </pic:pic>
              </a:graphicData>
            </a:graphic>
          </wp:inline>
        </w:drawing>
      </w:r>
    </w:p>
    <w:p>
      <w:pPr>
        <w:keepNext w:val="0"/>
        <w:spacing w:after="160"/>
        <w:jc w:val="center"/>
      </w:pPr>
      <w:r>
        <w:rPr>
          <w:rFonts w:ascii="Times New Roman" w:hAnsi="Times New Roman"/>
          <w:i/>
          <w:color w:val="444444"/>
          <w:sz w:val="20"/>
        </w:rPr>
        <w:t>Figura 4.2. Valores ausentes y continuidad del calendario en la tabla analítica del piloto. Fuente: elaboración propia a partir de SiAR.</w:t>
      </w:r>
    </w:p>
    <w:p>
      <w:pPr>
        <w:spacing w:after="120" w:line="276" w:lineRule="auto"/>
        <w:jc w:val="both"/>
      </w:pPr>
      <w:r>
        <w:rPr>
          <w:rFonts w:ascii="Times New Roman" w:hAnsi="Times New Roman"/>
          <w:color w:val="000000"/>
          <w:sz w:val="24"/>
        </w:rP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pPr>
        <w:keepNext/>
        <w:spacing w:before="200" w:after="80"/>
      </w:pPr>
      <w:r>
        <w:rPr>
          <w:rFonts w:ascii="Times New Roman" w:hAnsi="Times New Roman"/>
          <w:b/>
          <w:color w:val="000000"/>
          <w:sz w:val="24"/>
        </w:rPr>
        <w:t>4.2.2. Análisis descriptivo y temporal</w:t>
      </w:r>
    </w:p>
    <w:p>
      <w:pPr>
        <w:spacing w:after="120" w:line="276" w:lineRule="auto"/>
        <w:jc w:val="both"/>
      </w:pPr>
      <w:r>
        <w:rPr>
          <w:rFonts w:ascii="Times New Roman" w:hAnsi="Times New Roman"/>
          <w:color w:val="000000"/>
          <w:sz w:val="24"/>
        </w:rP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tbl>
      <w:tblPr>
        <w:tblW w:type="auto" w:w="0"/>
        <w:jc w:val="center"/>
        <w:tblLayout w:type="fixed"/>
        <w:tblLook w:firstColumn="1" w:firstRow="1" w:lastColumn="0" w:lastRow="0" w:noHBand="0" w:noVBand="1" w:val="04A0"/>
      </w:tblPr>
      <w:tblGrid>
        <w:gridCol w:w="1416"/>
        <w:gridCol w:w="1416"/>
        <w:gridCol w:w="1416"/>
        <w:gridCol w:w="1416"/>
        <w:gridCol w:w="1416"/>
        <w:gridCol w:w="1416"/>
      </w:tblGrid>
      <w:tr>
        <w:trPr>
          <w:tblHeader w:val="true"/>
        </w:trPr>
        <w:tc>
          <w:tcPr>
            <w:tcW w:type="dxa" w:w="3096"/>
            <w:vAlign w:val="center"/>
            <w:shd w:fill="1F4E79"/>
          </w:tcPr>
          <w:p>
            <w:pPr>
              <w:spacing w:after="0"/>
              <w:jc w:val="center"/>
            </w:pPr>
            <w:r>
              <w:rPr>
                <w:rFonts w:ascii="Arial" w:hAnsi="Arial"/>
                <w:b/>
                <w:color w:val="FFFFFF"/>
                <w:sz w:val="18"/>
              </w:rPr>
              <w:t>Variable</w:t>
            </w:r>
          </w:p>
        </w:tc>
        <w:tc>
          <w:tcPr>
            <w:tcW w:type="dxa" w:w="1007"/>
            <w:vAlign w:val="center"/>
            <w:shd w:fill="1F4E79"/>
          </w:tcPr>
          <w:p>
            <w:pPr>
              <w:spacing w:after="0"/>
              <w:jc w:val="center"/>
            </w:pPr>
            <w:r>
              <w:rPr>
                <w:rFonts w:ascii="Arial" w:hAnsi="Arial"/>
                <w:b/>
                <w:color w:val="FFFFFF"/>
                <w:sz w:val="18"/>
              </w:rPr>
              <w:t>N válido</w:t>
            </w:r>
          </w:p>
        </w:tc>
        <w:tc>
          <w:tcPr>
            <w:tcW w:type="dxa" w:w="1080"/>
            <w:vAlign w:val="center"/>
            <w:shd w:fill="1F4E79"/>
          </w:tcPr>
          <w:p>
            <w:pPr>
              <w:spacing w:after="0"/>
              <w:jc w:val="center"/>
            </w:pPr>
            <w:r>
              <w:rPr>
                <w:rFonts w:ascii="Arial" w:hAnsi="Arial"/>
                <w:b/>
                <w:color w:val="FFFFFF"/>
                <w:sz w:val="18"/>
              </w:rPr>
              <w:t>Media</w:t>
            </w:r>
          </w:p>
        </w:tc>
        <w:tc>
          <w:tcPr>
            <w:tcW w:type="dxa" w:w="1152"/>
            <w:vAlign w:val="center"/>
            <w:shd w:fill="1F4E79"/>
          </w:tcPr>
          <w:p>
            <w:pPr>
              <w:spacing w:after="0"/>
              <w:jc w:val="center"/>
            </w:pPr>
            <w:r>
              <w:rPr>
                <w:rFonts w:ascii="Arial" w:hAnsi="Arial"/>
                <w:b/>
                <w:color w:val="FFFFFF"/>
                <w:sz w:val="18"/>
              </w:rPr>
              <w:t>Mediana</w:t>
            </w:r>
          </w:p>
        </w:tc>
        <w:tc>
          <w:tcPr>
            <w:tcW w:type="dxa" w:w="1080"/>
            <w:vAlign w:val="center"/>
            <w:shd w:fill="1F4E79"/>
          </w:tcPr>
          <w:p>
            <w:pPr>
              <w:spacing w:after="0"/>
              <w:jc w:val="center"/>
            </w:pPr>
            <w:r>
              <w:rPr>
                <w:rFonts w:ascii="Arial" w:hAnsi="Arial"/>
                <w:b/>
                <w:color w:val="FFFFFF"/>
                <w:sz w:val="18"/>
              </w:rPr>
              <w:t>Mínimo</w:t>
            </w:r>
          </w:p>
        </w:tc>
        <w:tc>
          <w:tcPr>
            <w:tcW w:type="dxa" w:w="1080"/>
            <w:vAlign w:val="center"/>
            <w:shd w:fill="1F4E79"/>
          </w:tcPr>
          <w:p>
            <w:pPr>
              <w:spacing w:after="0"/>
              <w:jc w:val="center"/>
            </w:pPr>
            <w:r>
              <w:rPr>
                <w:rFonts w:ascii="Arial" w:hAnsi="Arial"/>
                <w:b/>
                <w:color w:val="FFFFFF"/>
                <w:sz w:val="18"/>
              </w:rPr>
              <w:t>Máximo</w:t>
            </w:r>
          </w:p>
        </w:tc>
      </w:tr>
      <w:tr>
        <w:trPr>
          <w:cantSplit/>
        </w:trPr>
        <w:tc>
          <w:tcPr>
            <w:tcW w:type="dxa" w:w="3096"/>
            <w:vAlign w:val="center"/>
          </w:tcPr>
          <w:p>
            <w:pPr>
              <w:spacing w:after="0"/>
              <w:jc w:val="left"/>
            </w:pPr>
            <w:r>
              <w:rPr>
                <w:rFonts w:ascii="Arial" w:hAnsi="Arial"/>
                <w:color w:val="000000"/>
                <w:sz w:val="18"/>
              </w:rPr>
              <w:t>Temperatura media (°C)</w:t>
            </w:r>
          </w:p>
        </w:tc>
        <w:tc>
          <w:tcPr>
            <w:tcW w:type="dxa" w:w="1007"/>
            <w:vAlign w:val="center"/>
          </w:tcPr>
          <w:p>
            <w:pPr>
              <w:spacing w:after="0"/>
              <w:jc w:val="center"/>
            </w:pPr>
            <w:r>
              <w:rPr>
                <w:rFonts w:ascii="Arial" w:hAnsi="Arial"/>
                <w:color w:val="000000"/>
                <w:sz w:val="18"/>
              </w:rPr>
              <w:t>149</w:t>
            </w:r>
          </w:p>
        </w:tc>
        <w:tc>
          <w:tcPr>
            <w:tcW w:type="dxa" w:w="1080"/>
            <w:vAlign w:val="center"/>
          </w:tcPr>
          <w:p>
            <w:pPr>
              <w:spacing w:after="0"/>
              <w:jc w:val="center"/>
            </w:pPr>
            <w:r>
              <w:rPr>
                <w:rFonts w:ascii="Arial" w:hAnsi="Arial"/>
                <w:color w:val="000000"/>
                <w:sz w:val="18"/>
              </w:rPr>
              <w:t>24,57</w:t>
            </w:r>
          </w:p>
        </w:tc>
        <w:tc>
          <w:tcPr>
            <w:tcW w:type="dxa" w:w="1152"/>
            <w:vAlign w:val="center"/>
          </w:tcPr>
          <w:p>
            <w:pPr>
              <w:spacing w:after="0"/>
              <w:jc w:val="center"/>
            </w:pPr>
            <w:r>
              <w:rPr>
                <w:rFonts w:ascii="Arial" w:hAnsi="Arial"/>
                <w:color w:val="000000"/>
                <w:sz w:val="18"/>
              </w:rPr>
              <w:t>25,35</w:t>
            </w:r>
          </w:p>
        </w:tc>
        <w:tc>
          <w:tcPr>
            <w:tcW w:type="dxa" w:w="1080"/>
            <w:vAlign w:val="center"/>
          </w:tcPr>
          <w:p>
            <w:pPr>
              <w:spacing w:after="0"/>
              <w:jc w:val="center"/>
            </w:pPr>
            <w:r>
              <w:rPr>
                <w:rFonts w:ascii="Arial" w:hAnsi="Arial"/>
                <w:color w:val="000000"/>
                <w:sz w:val="18"/>
              </w:rPr>
              <w:t>17,23</w:t>
            </w:r>
          </w:p>
        </w:tc>
        <w:tc>
          <w:tcPr>
            <w:tcW w:type="dxa" w:w="1080"/>
            <w:vAlign w:val="center"/>
          </w:tcPr>
          <w:p>
            <w:pPr>
              <w:spacing w:after="0"/>
              <w:jc w:val="center"/>
            </w:pPr>
            <w:r>
              <w:rPr>
                <w:rFonts w:ascii="Arial" w:hAnsi="Arial"/>
                <w:color w:val="000000"/>
                <w:sz w:val="18"/>
              </w:rPr>
              <w:t>31,87</w:t>
            </w:r>
          </w:p>
        </w:tc>
      </w:tr>
      <w:tr>
        <w:trPr>
          <w:cantSplit/>
        </w:trPr>
        <w:tc>
          <w:tcPr>
            <w:tcW w:type="dxa" w:w="3096"/>
            <w:vAlign w:val="center"/>
            <w:shd w:fill="EAF1F8"/>
          </w:tcPr>
          <w:p>
            <w:pPr>
              <w:spacing w:after="0"/>
              <w:jc w:val="left"/>
            </w:pPr>
            <w:r>
              <w:rPr>
                <w:rFonts w:ascii="Arial" w:hAnsi="Arial"/>
                <w:color w:val="000000"/>
                <w:sz w:val="18"/>
              </w:rPr>
              <w:t>Humedad media (%)</w:t>
            </w:r>
          </w:p>
        </w:tc>
        <w:tc>
          <w:tcPr>
            <w:tcW w:type="dxa" w:w="1007"/>
            <w:vAlign w:val="center"/>
            <w:shd w:fill="EAF1F8"/>
          </w:tcPr>
          <w:p>
            <w:pPr>
              <w:spacing w:after="0"/>
              <w:jc w:val="center"/>
            </w:pPr>
            <w:r>
              <w:rPr>
                <w:rFonts w:ascii="Arial" w:hAnsi="Arial"/>
                <w:color w:val="000000"/>
                <w:sz w:val="18"/>
              </w:rPr>
              <w:t>149</w:t>
            </w:r>
          </w:p>
        </w:tc>
        <w:tc>
          <w:tcPr>
            <w:tcW w:type="dxa" w:w="1080"/>
            <w:vAlign w:val="center"/>
            <w:shd w:fill="EAF1F8"/>
          </w:tcPr>
          <w:p>
            <w:pPr>
              <w:spacing w:after="0"/>
              <w:jc w:val="center"/>
            </w:pPr>
            <w:r>
              <w:rPr>
                <w:rFonts w:ascii="Arial" w:hAnsi="Arial"/>
                <w:color w:val="000000"/>
                <w:sz w:val="18"/>
              </w:rPr>
              <w:t>59,07</w:t>
            </w:r>
          </w:p>
        </w:tc>
        <w:tc>
          <w:tcPr>
            <w:tcW w:type="dxa" w:w="1152"/>
            <w:vAlign w:val="center"/>
            <w:shd w:fill="EAF1F8"/>
          </w:tcPr>
          <w:p>
            <w:pPr>
              <w:spacing w:after="0"/>
              <w:jc w:val="center"/>
            </w:pPr>
            <w:r>
              <w:rPr>
                <w:rFonts w:ascii="Arial" w:hAnsi="Arial"/>
                <w:color w:val="000000"/>
                <w:sz w:val="18"/>
              </w:rPr>
              <w:t>60,59</w:t>
            </w:r>
          </w:p>
        </w:tc>
        <w:tc>
          <w:tcPr>
            <w:tcW w:type="dxa" w:w="1080"/>
            <w:vAlign w:val="center"/>
            <w:shd w:fill="EAF1F8"/>
          </w:tcPr>
          <w:p>
            <w:pPr>
              <w:spacing w:after="0"/>
              <w:jc w:val="center"/>
            </w:pPr>
            <w:r>
              <w:rPr>
                <w:rFonts w:ascii="Arial" w:hAnsi="Arial"/>
                <w:color w:val="000000"/>
                <w:sz w:val="18"/>
              </w:rPr>
              <w:t>29,51</w:t>
            </w:r>
          </w:p>
        </w:tc>
        <w:tc>
          <w:tcPr>
            <w:tcW w:type="dxa" w:w="1080"/>
            <w:vAlign w:val="center"/>
            <w:shd w:fill="EAF1F8"/>
          </w:tcPr>
          <w:p>
            <w:pPr>
              <w:spacing w:after="0"/>
              <w:jc w:val="center"/>
            </w:pPr>
            <w:r>
              <w:rPr>
                <w:rFonts w:ascii="Arial" w:hAnsi="Arial"/>
                <w:color w:val="000000"/>
                <w:sz w:val="18"/>
              </w:rPr>
              <w:t>83,50</w:t>
            </w:r>
          </w:p>
        </w:tc>
      </w:tr>
      <w:tr>
        <w:trPr>
          <w:cantSplit/>
        </w:trPr>
        <w:tc>
          <w:tcPr>
            <w:tcW w:type="dxa" w:w="3096"/>
            <w:vAlign w:val="center"/>
          </w:tcPr>
          <w:p>
            <w:pPr>
              <w:spacing w:after="0"/>
              <w:jc w:val="left"/>
            </w:pPr>
            <w:r>
              <w:rPr>
                <w:rFonts w:ascii="Arial" w:hAnsi="Arial"/>
                <w:color w:val="000000"/>
                <w:sz w:val="18"/>
              </w:rPr>
              <w:t>ET0 (mm/día)</w:t>
            </w:r>
          </w:p>
        </w:tc>
        <w:tc>
          <w:tcPr>
            <w:tcW w:type="dxa" w:w="1007"/>
            <w:vAlign w:val="center"/>
          </w:tcPr>
          <w:p>
            <w:pPr>
              <w:spacing w:after="0"/>
              <w:jc w:val="center"/>
            </w:pPr>
            <w:r>
              <w:rPr>
                <w:rFonts w:ascii="Arial" w:hAnsi="Arial"/>
                <w:color w:val="000000"/>
                <w:sz w:val="18"/>
              </w:rPr>
              <w:t>148</w:t>
            </w:r>
          </w:p>
        </w:tc>
        <w:tc>
          <w:tcPr>
            <w:tcW w:type="dxa" w:w="1080"/>
            <w:vAlign w:val="center"/>
          </w:tcPr>
          <w:p>
            <w:pPr>
              <w:spacing w:after="0"/>
              <w:jc w:val="center"/>
            </w:pPr>
            <w:r>
              <w:rPr>
                <w:rFonts w:ascii="Arial" w:hAnsi="Arial"/>
                <w:color w:val="000000"/>
                <w:sz w:val="18"/>
              </w:rPr>
              <w:t>5,15</w:t>
            </w:r>
          </w:p>
        </w:tc>
        <w:tc>
          <w:tcPr>
            <w:tcW w:type="dxa" w:w="1152"/>
            <w:vAlign w:val="center"/>
          </w:tcPr>
          <w:p>
            <w:pPr>
              <w:spacing w:after="0"/>
              <w:jc w:val="center"/>
            </w:pPr>
            <w:r>
              <w:rPr>
                <w:rFonts w:ascii="Arial" w:hAnsi="Arial"/>
                <w:color w:val="000000"/>
                <w:sz w:val="18"/>
              </w:rPr>
              <w:t>5,16</w:t>
            </w:r>
          </w:p>
        </w:tc>
        <w:tc>
          <w:tcPr>
            <w:tcW w:type="dxa" w:w="1080"/>
            <w:vAlign w:val="center"/>
          </w:tcPr>
          <w:p>
            <w:pPr>
              <w:spacing w:after="0"/>
              <w:jc w:val="center"/>
            </w:pPr>
            <w:r>
              <w:rPr>
                <w:rFonts w:ascii="Arial" w:hAnsi="Arial"/>
                <w:color w:val="000000"/>
                <w:sz w:val="18"/>
              </w:rPr>
              <w:t>2,20</w:t>
            </w:r>
          </w:p>
        </w:tc>
        <w:tc>
          <w:tcPr>
            <w:tcW w:type="dxa" w:w="1080"/>
            <w:vAlign w:val="center"/>
          </w:tcPr>
          <w:p>
            <w:pPr>
              <w:spacing w:after="0"/>
              <w:jc w:val="center"/>
            </w:pPr>
            <w:r>
              <w:rPr>
                <w:rFonts w:ascii="Arial" w:hAnsi="Arial"/>
                <w:color w:val="000000"/>
                <w:sz w:val="18"/>
              </w:rPr>
              <w:t>7,86</w:t>
            </w:r>
          </w:p>
        </w:tc>
      </w:tr>
      <w:tr>
        <w:trPr>
          <w:cantSplit/>
        </w:trPr>
        <w:tc>
          <w:tcPr>
            <w:tcW w:type="dxa" w:w="3096"/>
            <w:vAlign w:val="center"/>
            <w:shd w:fill="EAF1F8"/>
          </w:tcPr>
          <w:p>
            <w:pPr>
              <w:spacing w:after="0"/>
              <w:jc w:val="left"/>
            </w:pPr>
            <w:r>
              <w:rPr>
                <w:rFonts w:ascii="Arial" w:hAnsi="Arial"/>
                <w:color w:val="000000"/>
                <w:sz w:val="18"/>
              </w:rPr>
              <w:t>Coeficiente de cultivo Kc</w:t>
            </w:r>
          </w:p>
        </w:tc>
        <w:tc>
          <w:tcPr>
            <w:tcW w:type="dxa" w:w="1007"/>
            <w:vAlign w:val="center"/>
            <w:shd w:fill="EAF1F8"/>
          </w:tcPr>
          <w:p>
            <w:pPr>
              <w:spacing w:after="0"/>
              <w:jc w:val="center"/>
            </w:pPr>
            <w:r>
              <w:rPr>
                <w:rFonts w:ascii="Arial" w:hAnsi="Arial"/>
                <w:color w:val="000000"/>
                <w:sz w:val="18"/>
              </w:rPr>
              <w:t>150</w:t>
            </w:r>
          </w:p>
        </w:tc>
        <w:tc>
          <w:tcPr>
            <w:tcW w:type="dxa" w:w="1080"/>
            <w:vAlign w:val="center"/>
            <w:shd w:fill="EAF1F8"/>
          </w:tcPr>
          <w:p>
            <w:pPr>
              <w:spacing w:after="0"/>
              <w:jc w:val="center"/>
            </w:pPr>
            <w:r>
              <w:rPr>
                <w:rFonts w:ascii="Arial" w:hAnsi="Arial"/>
                <w:color w:val="000000"/>
                <w:sz w:val="18"/>
              </w:rPr>
              <w:t>0,68</w:t>
            </w:r>
          </w:p>
        </w:tc>
        <w:tc>
          <w:tcPr>
            <w:tcW w:type="dxa" w:w="1152"/>
            <w:vAlign w:val="center"/>
            <w:shd w:fill="EAF1F8"/>
          </w:tcPr>
          <w:p>
            <w:pPr>
              <w:spacing w:after="0"/>
              <w:jc w:val="center"/>
            </w:pPr>
            <w:r>
              <w:rPr>
                <w:rFonts w:ascii="Arial" w:hAnsi="Arial"/>
                <w:color w:val="000000"/>
                <w:sz w:val="18"/>
              </w:rPr>
              <w:t>0,70</w:t>
            </w:r>
          </w:p>
        </w:tc>
        <w:tc>
          <w:tcPr>
            <w:tcW w:type="dxa" w:w="1080"/>
            <w:vAlign w:val="center"/>
            <w:shd w:fill="EAF1F8"/>
          </w:tcPr>
          <w:p>
            <w:pPr>
              <w:spacing w:after="0"/>
              <w:jc w:val="center"/>
            </w:pPr>
            <w:r>
              <w:rPr>
                <w:rFonts w:ascii="Arial" w:hAnsi="Arial"/>
                <w:color w:val="000000"/>
                <w:sz w:val="18"/>
              </w:rPr>
              <w:t>0,30</w:t>
            </w:r>
          </w:p>
        </w:tc>
        <w:tc>
          <w:tcPr>
            <w:tcW w:type="dxa" w:w="1080"/>
            <w:vAlign w:val="center"/>
            <w:shd w:fill="EAF1F8"/>
          </w:tcPr>
          <w:p>
            <w:pPr>
              <w:spacing w:after="0"/>
              <w:jc w:val="center"/>
            </w:pPr>
            <w:r>
              <w:rPr>
                <w:rFonts w:ascii="Arial" w:hAnsi="Arial"/>
                <w:color w:val="000000"/>
                <w:sz w:val="18"/>
              </w:rPr>
              <w:t>1,00</w:t>
            </w:r>
          </w:p>
        </w:tc>
      </w:tr>
      <w:tr>
        <w:trPr>
          <w:cantSplit/>
        </w:trPr>
        <w:tc>
          <w:tcPr>
            <w:tcW w:type="dxa" w:w="3096"/>
            <w:vAlign w:val="center"/>
          </w:tcPr>
          <w:p>
            <w:pPr>
              <w:spacing w:after="0"/>
              <w:jc w:val="left"/>
            </w:pPr>
            <w:r>
              <w:rPr>
                <w:rFonts w:ascii="Arial" w:hAnsi="Arial"/>
                <w:color w:val="000000"/>
                <w:sz w:val="18"/>
              </w:rPr>
              <w:t>Necesidad neta (mm/día)</w:t>
            </w:r>
          </w:p>
        </w:tc>
        <w:tc>
          <w:tcPr>
            <w:tcW w:type="dxa" w:w="1007"/>
            <w:vAlign w:val="center"/>
          </w:tcPr>
          <w:p>
            <w:pPr>
              <w:spacing w:after="0"/>
              <w:jc w:val="center"/>
            </w:pPr>
            <w:r>
              <w:rPr>
                <w:rFonts w:ascii="Arial" w:hAnsi="Arial"/>
                <w:color w:val="000000"/>
                <w:sz w:val="18"/>
              </w:rPr>
              <w:t>148</w:t>
            </w:r>
          </w:p>
        </w:tc>
        <w:tc>
          <w:tcPr>
            <w:tcW w:type="dxa" w:w="1080"/>
            <w:vAlign w:val="center"/>
          </w:tcPr>
          <w:p>
            <w:pPr>
              <w:spacing w:after="0"/>
              <w:jc w:val="center"/>
            </w:pPr>
            <w:r>
              <w:rPr>
                <w:rFonts w:ascii="Arial" w:hAnsi="Arial"/>
                <w:color w:val="000000"/>
                <w:sz w:val="18"/>
              </w:rPr>
              <w:t>3,59</w:t>
            </w:r>
          </w:p>
        </w:tc>
        <w:tc>
          <w:tcPr>
            <w:tcW w:type="dxa" w:w="1152"/>
            <w:vAlign w:val="center"/>
          </w:tcPr>
          <w:p>
            <w:pPr>
              <w:spacing w:after="0"/>
              <w:jc w:val="center"/>
            </w:pPr>
            <w:r>
              <w:rPr>
                <w:rFonts w:ascii="Arial" w:hAnsi="Arial"/>
                <w:color w:val="000000"/>
                <w:sz w:val="18"/>
              </w:rPr>
              <w:t>3,94</w:t>
            </w:r>
          </w:p>
        </w:tc>
        <w:tc>
          <w:tcPr>
            <w:tcW w:type="dxa" w:w="1080"/>
            <w:vAlign w:val="center"/>
          </w:tcPr>
          <w:p>
            <w:pPr>
              <w:spacing w:after="0"/>
              <w:jc w:val="center"/>
            </w:pPr>
            <w:r>
              <w:rPr>
                <w:rFonts w:ascii="Arial" w:hAnsi="Arial"/>
                <w:color w:val="000000"/>
                <w:sz w:val="18"/>
              </w:rPr>
              <w:t>0,00</w:t>
            </w:r>
          </w:p>
        </w:tc>
        <w:tc>
          <w:tcPr>
            <w:tcW w:type="dxa" w:w="1080"/>
            <w:vAlign w:val="center"/>
          </w:tcPr>
          <w:p>
            <w:pPr>
              <w:spacing w:after="0"/>
              <w:jc w:val="center"/>
            </w:pPr>
            <w:r>
              <w:rPr>
                <w:rFonts w:ascii="Arial" w:hAnsi="Arial"/>
                <w:color w:val="000000"/>
                <w:sz w:val="18"/>
              </w:rPr>
              <w:t>7,07</w:t>
            </w:r>
          </w:p>
        </w:tc>
      </w:tr>
    </w:tbl>
    <w:p>
      <w:pPr>
        <w:spacing w:after="40"/>
      </w:pPr>
    </w:p>
    <w:p>
      <w:pPr>
        <w:keepNext w:val="0"/>
        <w:spacing w:after="160"/>
        <w:jc w:val="center"/>
      </w:pPr>
      <w:r>
        <w:rPr>
          <w:rFonts w:ascii="Times New Roman" w:hAnsi="Times New Roman"/>
          <w:i/>
          <w:color w:val="444444"/>
          <w:sz w:val="20"/>
        </w:rPr>
        <w:t>Tabla 4.8. Estadísticos descriptivos de las variables principales.</w:t>
      </w:r>
    </w:p>
    <w:p>
      <w:pPr>
        <w:spacing w:after="120" w:line="276" w:lineRule="auto"/>
        <w:jc w:val="both"/>
      </w:pPr>
      <w:r>
        <w:rPr>
          <w:rFonts w:ascii="Times New Roman" w:hAnsi="Times New Roman"/>
          <w:color w:val="000000"/>
          <w:sz w:val="24"/>
        </w:rP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453815"/>
            <wp:docPr id="3" name="Picture 3"/>
            <wp:cNvGraphicFramePr>
              <a:graphicFrameLocks noChangeAspect="1"/>
            </wp:cNvGraphicFramePr>
            <a:graphic>
              <a:graphicData uri="http://schemas.openxmlformats.org/drawingml/2006/picture">
                <pic:pic>
                  <pic:nvPicPr>
                    <pic:cNvPr id="0" name="image.png"/>
                    <pic:cNvPicPr/>
                  </pic:nvPicPr>
                  <pic:blipFill>
                    <a:blip ns1:embed="rId9"/>
                    <a:stretch>
                      <a:fillRect/>
                    </a:stretch>
                  </pic:blipFill>
                  <pic:spPr>
                    <a:xfrm>
                      <a:off x="0" y="0"/>
                      <a:ext cx="5532120" cy="3453815"/>
                    </a:xfrm>
                    <a:prstGeom prst="rect"/>
                  </pic:spPr>
                </pic:pic>
              </a:graphicData>
            </a:graphic>
          </wp:inline>
        </w:drawing>
      </w:r>
    </w:p>
    <w:p>
      <w:pPr>
        <w:keepNext w:val="0"/>
        <w:spacing w:after="160"/>
        <w:jc w:val="center"/>
      </w:pPr>
      <w:r>
        <w:rPr>
          <w:rFonts w:ascii="Times New Roman" w:hAnsi="Times New Roman"/>
          <w:i/>
          <w:color w:val="444444"/>
          <w:sz w:val="20"/>
        </w:rPr>
        <w:t>Figura 4.3. Evolución de ET0, ETc, necesidad neta, Kc y precipitación efectiva. Fuente: elaboración propia a partir de SiAR.</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690957"/>
            <wp:docPr id="4" name="Picture 4"/>
            <wp:cNvGraphicFramePr>
              <a:graphicFrameLocks noChangeAspect="1"/>
            </wp:cNvGraphicFramePr>
            <a:graphic>
              <a:graphicData uri="http://schemas.openxmlformats.org/drawingml/2006/picture">
                <pic:pic>
                  <pic:nvPicPr>
                    <pic:cNvPr id="0" name="image.png"/>
                    <pic:cNvPicPr/>
                  </pic:nvPicPr>
                  <pic:blipFill>
                    <a:blip ns1:embed="rId10"/>
                    <a:stretch>
                      <a:fillRect/>
                    </a:stretch>
                  </pic:blipFill>
                  <pic:spPr>
                    <a:xfrm>
                      <a:off x="0" y="0"/>
                      <a:ext cx="5532120" cy="3690957"/>
                    </a:xfrm>
                    <a:prstGeom prst="rect"/>
                  </pic:spPr>
                </pic:pic>
              </a:graphicData>
            </a:graphic>
          </wp:inline>
        </w:drawing>
      </w:r>
    </w:p>
    <w:p>
      <w:pPr>
        <w:keepNext w:val="0"/>
        <w:spacing w:after="160"/>
        <w:jc w:val="center"/>
      </w:pPr>
      <w:r>
        <w:rPr>
          <w:rFonts w:ascii="Times New Roman" w:hAnsi="Times New Roman"/>
          <w:i/>
          <w:color w:val="444444"/>
          <w:sz w:val="20"/>
        </w:rPr>
        <w:t>Figura 4.4. Distribución de temperatura, humedad, ET0 y necesidad neta. Fuente: elaboración propia a partir de SiAR.</w:t>
      </w:r>
    </w:p>
    <w:p>
      <w:pPr>
        <w:keepNext/>
        <w:spacing w:before="200" w:after="80"/>
      </w:pPr>
      <w:r>
        <w:rPr>
          <w:rFonts w:ascii="Times New Roman" w:hAnsi="Times New Roman"/>
          <w:b/>
          <w:color w:val="000000"/>
          <w:sz w:val="24"/>
        </w:rPr>
        <w:t>4.2.3. Relaciones entre variables</w:t>
      </w:r>
    </w:p>
    <w:p>
      <w:pPr>
        <w:spacing w:after="120" w:line="276" w:lineRule="auto"/>
        <w:jc w:val="both"/>
      </w:pPr>
      <w:r>
        <w:rPr>
          <w:rFonts w:ascii="Times New Roman" w:hAnsi="Times New Roman"/>
          <w:color w:val="000000"/>
          <w:sz w:val="24"/>
        </w:rP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4766930"/>
            <wp:docPr id="5" name="Picture 5"/>
            <wp:cNvGraphicFramePr>
              <a:graphicFrameLocks noChangeAspect="1"/>
            </wp:cNvGraphicFramePr>
            <a:graphic>
              <a:graphicData uri="http://schemas.openxmlformats.org/drawingml/2006/picture">
                <pic:pic>
                  <pic:nvPicPr>
                    <pic:cNvPr id="0" name="image.png"/>
                    <pic:cNvPicPr/>
                  </pic:nvPicPr>
                  <pic:blipFill>
                    <a:blip ns1:embed="rId11"/>
                    <a:stretch>
                      <a:fillRect/>
                    </a:stretch>
                  </pic:blipFill>
                  <pic:spPr>
                    <a:xfrm>
                      <a:off x="0" y="0"/>
                      <a:ext cx="5532120" cy="4766930"/>
                    </a:xfrm>
                    <a:prstGeom prst="rect"/>
                  </pic:spPr>
                </pic:pic>
              </a:graphicData>
            </a:graphic>
          </wp:inline>
        </w:drawing>
      </w:r>
    </w:p>
    <w:p>
      <w:pPr>
        <w:keepNext w:val="0"/>
        <w:spacing w:after="160"/>
        <w:jc w:val="center"/>
      </w:pPr>
      <w:r>
        <w:rPr>
          <w:rFonts w:ascii="Times New Roman" w:hAnsi="Times New Roman"/>
          <w:i/>
          <w:color w:val="444444"/>
          <w:sz w:val="20"/>
        </w:rPr>
        <w:t>Figura 4.5. Matriz de correlaciones de Pearson para variables seleccionadas. Fuente: elaboración propia a partir de SiAR.</w:t>
      </w:r>
    </w:p>
    <w:p>
      <w:pPr>
        <w:spacing w:after="120" w:line="276" w:lineRule="auto"/>
        <w:jc w:val="both"/>
      </w:pPr>
      <w:r>
        <w:rPr>
          <w:rFonts w:ascii="Times New Roman" w:hAnsi="Times New Roman"/>
          <w:color w:val="000000"/>
          <w:sz w:val="24"/>
        </w:rP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pPr>
        <w:keepNext/>
        <w:spacing w:before="200" w:after="80"/>
      </w:pPr>
      <w:r>
        <w:rPr>
          <w:rFonts w:ascii="Times New Roman" w:hAnsi="Times New Roman"/>
          <w:b/>
          <w:color w:val="000000"/>
          <w:sz w:val="24"/>
        </w:rPr>
        <w:t>4.2.4. Preparación y generación de variables</w:t>
      </w:r>
    </w:p>
    <w:p>
      <w:pPr>
        <w:keepNext/>
        <w:spacing w:after="120" w:line="276" w:lineRule="auto"/>
        <w:jc w:val="both"/>
      </w:pPr>
      <w:r>
        <w:rPr>
          <w:rFonts w:ascii="Times New Roman" w:hAnsi="Times New Roman"/>
          <w:color w:val="000000"/>
          <w:sz w:val="24"/>
        </w:rPr>
        <w:t>La tabla final combina cuatro grupos de información:</w:t>
      </w:r>
    </w:p>
    <w:p>
      <w:pPr>
        <w:keepNext/>
        <w:spacing w:after="60" w:line="276" w:lineRule="auto"/>
        <w:jc w:val="both"/>
      </w:pPr>
      <w:r>
        <w:rPr>
          <w:rFonts w:ascii="Times New Roman" w:hAnsi="Times New Roman"/>
          <w:b/>
          <w:i w:val="0"/>
          <w:color w:val="000000"/>
          <w:sz w:val="24"/>
        </w:rPr>
        <w:t xml:space="preserve">1. Variables temporales. </w:t>
      </w:r>
      <w:r>
        <w:rPr>
          <w:rFonts w:ascii="Times New Roman" w:hAnsi="Times New Roman"/>
          <w:b w:val="0"/>
          <w:i w:val="0"/>
          <w:color w:val="000000"/>
          <w:sz w:val="24"/>
        </w:rPr>
        <w:t>Año, mes, semana ISO, día del año y codificación cíclica mediante seno y coseno. Esta última representa la estacionalidad sin introducir una ruptura artificial entre el final y el inicio del año.</w:t>
      </w:r>
    </w:p>
    <w:p>
      <w:pPr>
        <w:keepNext/>
        <w:spacing w:after="60" w:line="276" w:lineRule="auto"/>
        <w:jc w:val="both"/>
      </w:pPr>
      <w:r>
        <w:rPr>
          <w:rFonts w:ascii="Times New Roman" w:hAnsi="Times New Roman"/>
          <w:b/>
          <w:i w:val="0"/>
          <w:color w:val="000000"/>
          <w:sz w:val="24"/>
        </w:rPr>
        <w:t xml:space="preserve">2. Variables agrometeorológicas derivadas. </w:t>
      </w:r>
      <w:r>
        <w:rPr>
          <w:rFonts w:ascii="Times New Roman" w:hAnsi="Times New Roman"/>
          <w:b w:val="0"/>
          <w:i w:val="0"/>
          <w:color w:val="000000"/>
          <w:sz w:val="24"/>
        </w:rPr>
        <w:t>Amplitud térmica diaria, déficit de presión de vapor, ETc estimada como ET0 × Kc y necesidad neta diagnóstica como max(ETc − precipitación efectiva, 0).</w:t>
      </w:r>
    </w:p>
    <w:p>
      <w:pPr>
        <w:keepNext/>
        <w:spacing w:after="60" w:line="276" w:lineRule="auto"/>
        <w:jc w:val="both"/>
      </w:pPr>
      <w:r>
        <w:rPr>
          <w:rFonts w:ascii="Times New Roman" w:hAnsi="Times New Roman"/>
          <w:b/>
          <w:i w:val="0"/>
          <w:color w:val="000000"/>
          <w:sz w:val="24"/>
        </w:rPr>
        <w:t xml:space="preserve">3. Retardos. </w:t>
      </w:r>
      <w:r>
        <w:rPr>
          <w:rFonts w:ascii="Times New Roman" w:hAnsi="Times New Roman"/>
          <w:b w:val="0"/>
          <w:i w:val="0"/>
          <w:color w:val="000000"/>
          <w:sz w:val="24"/>
        </w:rPr>
        <w:t>Valores de 1, 3 y 7 días de ET0, precipitación, temperatura, humedad, radiación y necesidad neta.</w:t>
      </w:r>
    </w:p>
    <w:p>
      <w:pPr>
        <w:keepNext w:val="0"/>
        <w:spacing w:after="120" w:line="276" w:lineRule="auto"/>
        <w:jc w:val="both"/>
      </w:pPr>
      <w:r>
        <w:rPr>
          <w:rFonts w:ascii="Times New Roman" w:hAnsi="Times New Roman"/>
          <w:b/>
          <w:i w:val="0"/>
          <w:color w:val="000000"/>
          <w:sz w:val="24"/>
        </w:rPr>
        <w:t xml:space="preserve">4. Ventanas temporales. </w:t>
      </w:r>
      <w:r>
        <w:rPr>
          <w:rFonts w:ascii="Times New Roman" w:hAnsi="Times New Roman"/>
          <w:b w:val="0"/>
          <w:i w:val="0"/>
          <w:color w:val="000000"/>
          <w:sz w:val="24"/>
        </w:rPr>
        <w:t>Medias móviles de 3, 7 y 14 días para variables continuas, y sumas móviles para precipitación, precipitación efectiva y necesidad neta. Todas las ventanas se desplazan un día antes de calcularse, de modo que no utilizan el valor que se desea predecir.</w:t>
      </w:r>
    </w:p>
    <w:p>
      <w:pPr>
        <w:spacing w:after="120" w:line="276" w:lineRule="auto"/>
        <w:jc w:val="both"/>
      </w:pPr>
      <w:r>
        <w:rPr>
          <w:rFonts w:ascii="Times New Roman" w:hAnsi="Times New Roman"/>
          <w:color w:val="000000"/>
          <w:sz w:val="24"/>
        </w:rP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pPr>
        <w:keepNext/>
        <w:spacing w:before="200" w:after="80"/>
      </w:pPr>
      <w:r>
        <w:rPr>
          <w:rFonts w:ascii="Times New Roman" w:hAnsi="Times New Roman"/>
          <w:b/>
          <w:color w:val="000000"/>
          <w:sz w:val="24"/>
        </w:rPr>
        <w:t>4.2.5. Disponibilidad de variables y prevención de fuga de información</w:t>
      </w:r>
    </w:p>
    <w:p>
      <w:pPr>
        <w:spacing w:after="120" w:line="276" w:lineRule="auto"/>
        <w:jc w:val="both"/>
      </w:pPr>
      <w:r>
        <w:rPr>
          <w:rFonts w:ascii="Times New Roman" w:hAnsi="Times New Roman"/>
          <w:color w:val="000000"/>
          <w:sz w:val="24"/>
        </w:rPr>
        <w:t>Para que la evaluación sea realista se distingue entre información conocida de antemano, observaciones disponibles al cierre del día y variables que solo existen después de calcular el objetivo.</w:t>
      </w:r>
    </w:p>
    <w:tbl>
      <w:tblPr>
        <w:tblW w:type="auto" w:w="0"/>
        <w:jc w:val="center"/>
        <w:tblLayout w:type="fixed"/>
        <w:tblLook w:firstColumn="1" w:firstRow="1" w:lastColumn="0" w:lastRow="0" w:noHBand="0" w:noVBand="1" w:val="04A0"/>
      </w:tblPr>
      <w:tblGrid>
        <w:gridCol w:w="2928"/>
        <w:gridCol w:w="2928"/>
        <w:gridCol w:w="2928"/>
      </w:tblGrid>
      <w:tr>
        <w:trPr>
          <w:tblHeader w:val="true"/>
          <w:cantSplit/>
        </w:trPr>
        <w:tc>
          <w:tcPr>
            <w:tcW w:type="dxa" w:w="2232"/>
            <w:vAlign w:val="center"/>
            <w:shd w:fill="1F4E79"/>
            <w:tcMar>
              <w:top w:w="55" w:type="dxa"/>
              <w:start w:w="70" w:type="dxa"/>
              <w:bottom w:w="55" w:type="dxa"/>
              <w:end w:w="70" w:type="dxa"/>
            </w:tcMar>
          </w:tcPr>
          <w:p>
            <w:pPr>
              <w:spacing w:after="0" w:before="0" w:line="240" w:lineRule="auto"/>
              <w:jc w:val="center"/>
            </w:pPr>
            <w:r>
              <w:rPr>
                <w:rFonts w:ascii="Arial" w:hAnsi="Arial"/>
                <w:b/>
                <w:color w:val="000000"/>
                <w:sz w:val="17"/>
              </w:rPr>
              <w:t>Grupo</w:t>
            </w:r>
          </w:p>
        </w:tc>
        <w:tc>
          <w:tcPr>
            <w:tcW w:type="dxa" w:w="3311"/>
            <w:vAlign w:val="center"/>
            <w:shd w:fill="1F4E79"/>
            <w:tcMar>
              <w:top w:w="55" w:type="dxa"/>
              <w:start w:w="70" w:type="dxa"/>
              <w:bottom w:w="55" w:type="dxa"/>
              <w:end w:w="70" w:type="dxa"/>
            </w:tcMar>
          </w:tcPr>
          <w:p>
            <w:pPr>
              <w:spacing w:after="0" w:before="0" w:line="240" w:lineRule="auto"/>
              <w:jc w:val="center"/>
            </w:pPr>
            <w:r>
              <w:rPr>
                <w:rFonts w:ascii="Arial" w:hAnsi="Arial"/>
                <w:b/>
                <w:color w:val="000000"/>
                <w:sz w:val="17"/>
              </w:rPr>
              <w:t>Ejemplos</w:t>
            </w:r>
          </w:p>
        </w:tc>
        <w:tc>
          <w:tcPr>
            <w:tcW w:type="dxa" w:w="3240"/>
            <w:vAlign w:val="center"/>
            <w:shd w:fill="1F4E79"/>
            <w:tcMar>
              <w:top w:w="55" w:type="dxa"/>
              <w:start w:w="70" w:type="dxa"/>
              <w:bottom w:w="55" w:type="dxa"/>
              <w:end w:w="70" w:type="dxa"/>
            </w:tcMar>
          </w:tcPr>
          <w:p>
            <w:pPr>
              <w:spacing w:after="0" w:before="0" w:line="240" w:lineRule="auto"/>
              <w:jc w:val="center"/>
            </w:pPr>
            <w:r>
              <w:rPr>
                <w:rFonts w:ascii="Arial" w:hAnsi="Arial"/>
                <w:b/>
                <w:color w:val="000000"/>
                <w:sz w:val="17"/>
              </w:rPr>
              <w:t>Uso propuesto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Arial" w:hAnsi="Arial"/>
                <w:color w:val="000000"/>
                <w:sz w:val="17"/>
              </w:rPr>
              <w:t>Conocidas de antemano</w:t>
            </w:r>
          </w:p>
        </w:tc>
        <w:tc>
          <w:tcPr>
            <w:tcW w:type="dxa" w:w="3311"/>
            <w:vAlign w:val="center"/>
            <w:tcMar>
              <w:top w:w="55" w:type="dxa"/>
              <w:start w:w="70" w:type="dxa"/>
              <w:bottom w:w="55" w:type="dxa"/>
              <w:end w:w="70" w:type="dxa"/>
            </w:tcMar>
          </w:tcPr>
          <w:p>
            <w:pPr>
              <w:spacing w:after="0" w:before="0" w:line="240" w:lineRule="auto"/>
              <w:jc w:val="center"/>
            </w:pPr>
            <w:r>
              <w:rPr>
                <w:rFonts w:ascii="Arial" w:hAnsi="Arial"/>
                <w:color w:val="000000"/>
                <w:sz w:val="17"/>
              </w:rPr>
              <w:t>Cultivo, estación, fecha y Kc planificado</w:t>
            </w:r>
          </w:p>
        </w:tc>
        <w:tc>
          <w:tcPr>
            <w:tcW w:type="dxa" w:w="3240"/>
            <w:vAlign w:val="center"/>
            <w:tcMar>
              <w:top w:w="55" w:type="dxa"/>
              <w:start w:w="70" w:type="dxa"/>
              <w:bottom w:w="55" w:type="dxa"/>
              <w:end w:w="70" w:type="dxa"/>
            </w:tcMar>
          </w:tcPr>
          <w:p>
            <w:pPr>
              <w:spacing w:after="0" w:before="0" w:line="240" w:lineRule="auto"/>
              <w:jc w:val="center"/>
            </w:pPr>
            <w:r>
              <w:rPr>
                <w:rFonts w:ascii="Arial" w:hAnsi="Arial"/>
                <w:color w:val="000000"/>
                <w:sz w:val="17"/>
              </w:rPr>
              <w:t>Candidatas para predicción</w:t>
            </w:r>
          </w:p>
        </w:tc>
      </w:tr>
      <w:tr>
        <w:trPr>
          <w:cantSplit/>
        </w:trPr>
        <w:tc>
          <w:tcPr>
            <w:tcW w:type="dxa" w:w="2232"/>
            <w:vAlign w:val="center"/>
            <w:shd w:fill="EAF1F8"/>
            <w:tcMar>
              <w:top w:w="55" w:type="dxa"/>
              <w:start w:w="70" w:type="dxa"/>
              <w:bottom w:w="55" w:type="dxa"/>
              <w:end w:w="70" w:type="dxa"/>
            </w:tcMar>
          </w:tcPr>
          <w:p>
            <w:pPr>
              <w:spacing w:after="0" w:before="0" w:line="240" w:lineRule="auto"/>
              <w:jc w:val="left"/>
            </w:pPr>
            <w:r>
              <w:rPr>
                <w:rFonts w:ascii="Arial" w:hAnsi="Arial"/>
                <w:color w:val="000000"/>
                <w:sz w:val="17"/>
              </w:rPr>
              <w:t>Meteorología observada</w:t>
            </w:r>
          </w:p>
        </w:tc>
        <w:tc>
          <w:tcPr>
            <w:tcW w:type="dxa" w:w="3311"/>
            <w:vAlign w:val="center"/>
            <w:shd w:fill="EAF1F8"/>
            <w:tcMar>
              <w:top w:w="55" w:type="dxa"/>
              <w:start w:w="70" w:type="dxa"/>
              <w:bottom w:w="55" w:type="dxa"/>
              <w:end w:w="70" w:type="dxa"/>
            </w:tcMar>
          </w:tcPr>
          <w:p>
            <w:pPr>
              <w:spacing w:after="0" w:before="0" w:line="240" w:lineRule="auto"/>
              <w:jc w:val="center"/>
            </w:pPr>
            <w:r>
              <w:rPr>
                <w:rFonts w:ascii="Arial" w:hAnsi="Arial"/>
                <w:color w:val="000000"/>
                <w:sz w:val="17"/>
              </w:rPr>
              <w:t>Temperatura, humedad, viento, radiación y ET0</w:t>
            </w:r>
          </w:p>
        </w:tc>
        <w:tc>
          <w:tcPr>
            <w:tcW w:type="dxa" w:w="3240"/>
            <w:vAlign w:val="center"/>
            <w:shd w:fill="EAF1F8"/>
            <w:tcMar>
              <w:top w:w="55" w:type="dxa"/>
              <w:start w:w="70" w:type="dxa"/>
              <w:bottom w:w="55" w:type="dxa"/>
              <w:end w:w="70" w:type="dxa"/>
            </w:tcMar>
          </w:tcPr>
          <w:p>
            <w:pPr>
              <w:spacing w:after="0" w:before="0" w:line="240" w:lineRule="auto"/>
              <w:jc w:val="center"/>
            </w:pPr>
            <w:r>
              <w:rPr>
                <w:rFonts w:ascii="Arial" w:hAnsi="Arial"/>
                <w:color w:val="000000"/>
                <w:sz w:val="17"/>
              </w:rPr>
              <w:t>Prototipo retrospectivo; para futuro exige pronóstico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Arial" w:hAnsi="Arial"/>
                <w:color w:val="000000"/>
                <w:sz w:val="17"/>
              </w:rPr>
              <w:t>Históricas desplazadas</w:t>
            </w:r>
          </w:p>
        </w:tc>
        <w:tc>
          <w:tcPr>
            <w:tcW w:type="dxa" w:w="3311"/>
            <w:vAlign w:val="center"/>
            <w:tcMar>
              <w:top w:w="55" w:type="dxa"/>
              <w:start w:w="70" w:type="dxa"/>
              <w:bottom w:w="55" w:type="dxa"/>
              <w:end w:w="70" w:type="dxa"/>
            </w:tcMar>
          </w:tcPr>
          <w:p>
            <w:pPr>
              <w:spacing w:after="0" w:before="0" w:line="240" w:lineRule="auto"/>
              <w:jc w:val="center"/>
            </w:pPr>
            <w:r>
              <w:rPr>
                <w:rFonts w:ascii="Arial" w:hAnsi="Arial"/>
                <w:color w:val="000000"/>
                <w:sz w:val="17"/>
              </w:rPr>
              <w:t>Retardos y ventanas hasta t−1</w:t>
            </w:r>
          </w:p>
        </w:tc>
        <w:tc>
          <w:tcPr>
            <w:tcW w:type="dxa" w:w="3240"/>
            <w:vAlign w:val="center"/>
            <w:tcMar>
              <w:top w:w="55" w:type="dxa"/>
              <w:start w:w="70" w:type="dxa"/>
              <w:bottom w:w="55" w:type="dxa"/>
              <w:end w:w="70" w:type="dxa"/>
            </w:tcMar>
          </w:tcPr>
          <w:p>
            <w:pPr>
              <w:spacing w:after="0" w:before="0" w:line="240" w:lineRule="auto"/>
              <w:jc w:val="center"/>
            </w:pPr>
            <w:r>
              <w:rPr>
                <w:rFonts w:ascii="Arial" w:hAnsi="Arial"/>
                <w:color w:val="000000"/>
                <w:sz w:val="17"/>
              </w:rPr>
              <w:t>Candidatas si están disponibles en producción</w:t>
            </w:r>
          </w:p>
        </w:tc>
      </w:tr>
      <w:tr>
        <w:trPr>
          <w:cantSplit/>
        </w:trPr>
        <w:tc>
          <w:tcPr>
            <w:tcW w:type="dxa" w:w="2232"/>
            <w:vAlign w:val="center"/>
            <w:shd w:fill="EAF1F8"/>
            <w:tcMar>
              <w:top w:w="55" w:type="dxa"/>
              <w:start w:w="70" w:type="dxa"/>
              <w:bottom w:w="55" w:type="dxa"/>
              <w:end w:w="70" w:type="dxa"/>
            </w:tcMar>
          </w:tcPr>
          <w:p>
            <w:pPr>
              <w:spacing w:after="0" w:before="0" w:line="240" w:lineRule="auto"/>
              <w:jc w:val="left"/>
            </w:pPr>
            <w:r>
              <w:rPr>
                <w:rFonts w:ascii="Arial" w:hAnsi="Arial"/>
                <w:color w:val="000000"/>
                <w:sz w:val="17"/>
              </w:rPr>
              <w:t>Derivadas contemporáneas</w:t>
            </w:r>
          </w:p>
        </w:tc>
        <w:tc>
          <w:tcPr>
            <w:tcW w:type="dxa" w:w="3311"/>
            <w:vAlign w:val="center"/>
            <w:shd w:fill="EAF1F8"/>
            <w:tcMar>
              <w:top w:w="55" w:type="dxa"/>
              <w:start w:w="70" w:type="dxa"/>
              <w:bottom w:w="55" w:type="dxa"/>
              <w:end w:w="70" w:type="dxa"/>
            </w:tcMar>
          </w:tcPr>
          <w:p>
            <w:pPr>
              <w:spacing w:after="0" w:before="0" w:line="240" w:lineRule="auto"/>
              <w:jc w:val="center"/>
            </w:pPr>
            <w:r>
              <w:rPr>
                <w:rFonts w:ascii="Arial" w:hAnsi="Arial"/>
                <w:color w:val="000000"/>
                <w:sz w:val="17"/>
              </w:rPr>
              <w:t>ETc, precipitación efectiva y necesidad reconstruida</w:t>
            </w:r>
          </w:p>
        </w:tc>
        <w:tc>
          <w:tcPr>
            <w:tcW w:type="dxa" w:w="3240"/>
            <w:vAlign w:val="center"/>
            <w:shd w:fill="EAF1F8"/>
            <w:tcMar>
              <w:top w:w="55" w:type="dxa"/>
              <w:start w:w="70" w:type="dxa"/>
              <w:bottom w:w="55" w:type="dxa"/>
              <w:end w:w="70" w:type="dxa"/>
            </w:tcMar>
          </w:tcPr>
          <w:p>
            <w:pPr>
              <w:spacing w:after="0" w:before="0" w:line="240" w:lineRule="auto"/>
              <w:jc w:val="center"/>
            </w:pPr>
            <w:r>
              <w:rPr>
                <w:rFonts w:ascii="Arial" w:hAnsi="Arial"/>
                <w:color w:val="000000"/>
                <w:sz w:val="17"/>
              </w:rPr>
              <w:t>Solo diagnóstico; excluir del entrenamiento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Arial" w:hAnsi="Arial"/>
                <w:color w:val="000000"/>
                <w:sz w:val="17"/>
              </w:rPr>
              <w:t>Calidad y trazabilidad</w:t>
            </w:r>
          </w:p>
        </w:tc>
        <w:tc>
          <w:tcPr>
            <w:tcW w:type="dxa" w:w="3311"/>
            <w:vAlign w:val="center"/>
            <w:tcMar>
              <w:top w:w="55" w:type="dxa"/>
              <w:start w:w="70" w:type="dxa"/>
              <w:bottom w:w="55" w:type="dxa"/>
              <w:end w:w="70" w:type="dxa"/>
            </w:tcMar>
          </w:tcPr>
          <w:p>
            <w:pPr>
              <w:spacing w:after="0" w:before="0" w:line="240" w:lineRule="auto"/>
              <w:jc w:val="center"/>
            </w:pPr>
            <w:r>
              <w:rPr>
                <w:rFonts w:ascii="Arial" w:hAnsi="Arial"/>
                <w:color w:val="000000"/>
                <w:sz w:val="17"/>
              </w:rPr>
              <w:t>Estados, incidencias, fichero y fecha de ingesta</w:t>
            </w:r>
          </w:p>
        </w:tc>
        <w:tc>
          <w:tcPr>
            <w:tcW w:type="dxa" w:w="3240"/>
            <w:vAlign w:val="center"/>
            <w:tcMar>
              <w:top w:w="55" w:type="dxa"/>
              <w:start w:w="70" w:type="dxa"/>
              <w:bottom w:w="55" w:type="dxa"/>
              <w:end w:w="70" w:type="dxa"/>
            </w:tcMar>
          </w:tcPr>
          <w:p>
            <w:pPr>
              <w:spacing w:after="0" w:before="0" w:line="240" w:lineRule="auto"/>
              <w:jc w:val="center"/>
            </w:pPr>
            <w:r>
              <w:rPr>
                <w:rFonts w:ascii="Arial" w:hAnsi="Arial"/>
                <w:color w:val="000000"/>
                <w:sz w:val="17"/>
              </w:rPr>
              <w:t>Auditoría; no predictores</w:t>
            </w:r>
          </w:p>
        </w:tc>
      </w:tr>
    </w:tbl>
    <w:p>
      <w:pPr>
        <w:spacing w:after="40"/>
      </w:pPr>
    </w:p>
    <w:p>
      <w:pPr>
        <w:keepNext w:val="0"/>
        <w:spacing w:after="160"/>
        <w:jc w:val="center"/>
      </w:pPr>
      <w:r>
        <w:rPr>
          <w:rFonts w:ascii="Times New Roman" w:hAnsi="Times New Roman"/>
          <w:i/>
          <w:color w:val="444444"/>
          <w:sz w:val="20"/>
        </w:rPr>
        <w:t>Tabla 4.9. Clasificación de variables según su disponibilidad y función en el modelo.</w:t>
      </w:r>
    </w:p>
    <w:p>
      <w:pPr>
        <w:spacing w:after="120" w:line="276" w:lineRule="auto"/>
        <w:jc w:val="both"/>
      </w:pPr>
      <w:r>
        <w:rPr>
          <w:rFonts w:ascii="Times New Roman" w:hAnsi="Times New Roman"/>
          <w:color w:val="000000"/>
          <w:sz w:val="24"/>
        </w:rPr>
        <w:t>El catálogo docs/data_samples/feature_catalog_4_2.csv documenta las 88 columnas, su tipo, disponibilidad, porcentaje de ausencias, función y riesgo de fuga. Este control será la base para seleccionar las variables del apartado 4.3. También evita que un buen resultado aparente provenga de introducir en el modelo componentes que determinan algebraicamente la etiqueta.</w:t>
      </w:r>
    </w:p>
    <w:p>
      <w:pPr>
        <w:spacing w:after="120" w:line="276" w:lineRule="auto"/>
        <w:jc w:val="both"/>
      </w:pPr>
      <w:r>
        <w:rPr>
          <w:rFonts w:ascii="Times New Roman" w:hAnsi="Times New Roman"/>
          <w:color w:val="000000"/>
          <w:sz w:val="24"/>
        </w:rPr>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pPr>
        <w:keepNext/>
        <w:spacing w:before="200" w:after="80"/>
      </w:pPr>
      <w:r>
        <w:rPr>
          <w:rFonts w:ascii="Times New Roman" w:hAnsi="Times New Roman"/>
          <w:b/>
          <w:color w:val="000000"/>
          <w:sz w:val="24"/>
        </w:rPr>
        <w:t>4.2.6. Estrategia de preparación para el modelado</w:t>
      </w:r>
    </w:p>
    <w:p>
      <w:pPr>
        <w:spacing w:after="120" w:line="276" w:lineRule="auto"/>
        <w:jc w:val="both"/>
      </w:pPr>
      <w:r>
        <w:rPr>
          <w:rFonts w:ascii="Times New Roman" w:hAnsi="Times New Roman"/>
          <w:color w:val="000000"/>
          <w:sz w:val="24"/>
        </w:rPr>
        <w:t>La división de entrenamiento, validación y prueba debe respetar el orden temporal. Una partición aleatoria mezclaría días muy próximos de la misma campaña y produciría una estimación optimista del error. En este piloto se propone entrenar con el tramo inicial y evaluar con fechas posteriores; cuando se amplíe el histórico, deberán reservarse campañas completas y, posteriormente, estaciones completas para medir generalización temporal y espacial.</w:t>
      </w:r>
    </w:p>
    <w:p>
      <w:pPr>
        <w:spacing w:after="120" w:line="276" w:lineRule="auto"/>
        <w:jc w:val="both"/>
      </w:pPr>
      <w:r>
        <w:rPr>
          <w:rFonts w:ascii="Times New Roman" w:hAnsi="Times New Roman"/>
          <w:color w:val="000000"/>
          <w:sz w:val="24"/>
        </w:rP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pPr>
        <w:spacing w:after="120" w:line="276" w:lineRule="auto"/>
        <w:jc w:val="both"/>
      </w:pPr>
      <w:r>
        <w:rPr>
          <w:rFonts w:ascii="Times New Roman" w:hAnsi="Times New Roman"/>
          <w:color w:val="000000"/>
          <w:sz w:val="24"/>
        </w:rP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pPr>
        <w:keepNext/>
        <w:spacing w:before="200" w:after="80"/>
      </w:pPr>
      <w:r>
        <w:rPr>
          <w:rFonts w:ascii="Times New Roman" w:hAnsi="Times New Roman"/>
          <w:b/>
          <w:color w:val="000000"/>
          <w:sz w:val="24"/>
        </w:rPr>
        <w:t>4.2.7. Resultados reproducibles</w:t>
      </w:r>
    </w:p>
    <w:p>
      <w:pPr>
        <w:spacing w:after="120" w:line="276" w:lineRule="auto"/>
        <w:jc w:val="both"/>
      </w:pPr>
      <w:r>
        <w:rPr>
          <w:rFonts w:ascii="Times New Roman" w:hAnsi="Times New Roman"/>
          <w:color w:val="000000"/>
          <w:sz w:val="24"/>
        </w:rPr>
        <w:t>La ejecución de python -m src.analysis.build_eda_4_2 genera:</w:t>
      </w:r>
    </w:p>
    <w:p>
      <w:pPr>
        <w:spacing w:after="60" w:line="276" w:lineRule="auto"/>
        <w:ind w:left="360" w:hanging="230"/>
        <w:jc w:val="both"/>
      </w:pPr>
      <w:r>
        <w:rPr>
          <w:rFonts w:ascii="Times New Roman" w:hAnsi="Times New Roman"/>
          <w:b/>
          <w:i w:val="0"/>
          <w:color w:val="000000"/>
          <w:sz w:val="24"/>
        </w:rPr>
        <w:t xml:space="preserve">• data/processed/modeling_dataset_daily.csv: </w:t>
      </w:r>
      <w:r>
        <w:rPr>
          <w:rFonts w:ascii="Times New Roman" w:hAnsi="Times New Roman"/>
          <w:b w:val="0"/>
          <w:i w:val="0"/>
          <w:color w:val="000000"/>
          <w:sz w:val="24"/>
        </w:rPr>
        <w:t>tabla completa de modelización, excluida de Git por ser un dato generado.</w:t>
      </w:r>
    </w:p>
    <w:p>
      <w:pPr>
        <w:spacing w:after="60" w:line="276" w:lineRule="auto"/>
        <w:ind w:left="360" w:hanging="230"/>
        <w:jc w:val="both"/>
      </w:pPr>
      <w:r>
        <w:rPr>
          <w:rFonts w:ascii="Times New Roman" w:hAnsi="Times New Roman"/>
          <w:b/>
          <w:i w:val="0"/>
          <w:color w:val="000000"/>
          <w:sz w:val="24"/>
        </w:rPr>
        <w:t xml:space="preserve">• eda_summary_4_2.json: </w:t>
      </w:r>
      <w:r>
        <w:rPr>
          <w:rFonts w:ascii="Times New Roman" w:hAnsi="Times New Roman"/>
          <w:b w:val="0"/>
          <w:i w:val="0"/>
          <w:color w:val="000000"/>
          <w:sz w:val="24"/>
        </w:rPr>
        <w:t>resumen verificable de cobertura, calidad, objetivo y correlaciones.</w:t>
      </w:r>
    </w:p>
    <w:p>
      <w:pPr>
        <w:spacing w:after="60" w:line="276" w:lineRule="auto"/>
        <w:ind w:left="360" w:hanging="230"/>
        <w:jc w:val="both"/>
      </w:pPr>
      <w:r>
        <w:rPr>
          <w:rFonts w:ascii="Times New Roman" w:hAnsi="Times New Roman"/>
          <w:b/>
          <w:i w:val="0"/>
          <w:color w:val="000000"/>
          <w:sz w:val="24"/>
        </w:rPr>
        <w:t xml:space="preserve">• eda_variable_summary_4_2.csv: </w:t>
      </w:r>
      <w:r>
        <w:rPr>
          <w:rFonts w:ascii="Times New Roman" w:hAnsi="Times New Roman"/>
          <w:b w:val="0"/>
          <w:i w:val="0"/>
          <w:color w:val="000000"/>
          <w:sz w:val="24"/>
        </w:rPr>
        <w:t>estadísticos descriptivos de las variables principales.</w:t>
      </w:r>
    </w:p>
    <w:p>
      <w:pPr>
        <w:spacing w:after="60" w:line="276" w:lineRule="auto"/>
        <w:ind w:left="360" w:hanging="230"/>
        <w:jc w:val="both"/>
      </w:pPr>
      <w:r>
        <w:rPr>
          <w:rFonts w:ascii="Times New Roman" w:hAnsi="Times New Roman"/>
          <w:b/>
          <w:i w:val="0"/>
          <w:color w:val="000000"/>
          <w:sz w:val="24"/>
        </w:rPr>
        <w:t xml:space="preserve">• feature_catalog_4_2.csv: </w:t>
      </w:r>
      <w:r>
        <w:rPr>
          <w:rFonts w:ascii="Times New Roman" w:hAnsi="Times New Roman"/>
          <w:b w:val="0"/>
          <w:i w:val="0"/>
          <w:color w:val="000000"/>
          <w:sz w:val="24"/>
        </w:rPr>
        <w:t>catálogo de variables y control de fuga de información.</w:t>
      </w:r>
    </w:p>
    <w:p>
      <w:pPr>
        <w:spacing w:after="60" w:line="276" w:lineRule="auto"/>
        <w:ind w:left="360" w:hanging="230"/>
        <w:jc w:val="both"/>
      </w:pPr>
      <w:r>
        <w:rPr>
          <w:rFonts w:ascii="Times New Roman" w:hAnsi="Times New Roman"/>
          <w:b/>
          <w:i w:val="0"/>
          <w:color w:val="000000"/>
          <w:sz w:val="24"/>
        </w:rPr>
        <w:t xml:space="preserve">• modeling_dataset_sample_4_2.csv: </w:t>
      </w:r>
      <w:r>
        <w:rPr>
          <w:rFonts w:ascii="Times New Roman" w:hAnsi="Times New Roman"/>
          <w:b w:val="0"/>
          <w:i w:val="0"/>
          <w:color w:val="000000"/>
          <w:sz w:val="24"/>
        </w:rPr>
        <w:t>muestra ligera de la tabla preparada.</w:t>
      </w:r>
    </w:p>
    <w:p>
      <w:pPr>
        <w:spacing w:after="60" w:line="276" w:lineRule="auto"/>
        <w:ind w:left="360" w:hanging="230"/>
        <w:jc w:val="both"/>
      </w:pPr>
      <w:r>
        <w:rPr>
          <w:rFonts w:ascii="Times New Roman" w:hAnsi="Times New Roman"/>
          <w:b/>
          <w:i w:val="0"/>
          <w:color w:val="000000"/>
          <w:sz w:val="24"/>
        </w:rPr>
        <w:t xml:space="preserve">• docs/images/: </w:t>
      </w:r>
      <w:r>
        <w:rPr>
          <w:rFonts w:ascii="Times New Roman" w:hAnsi="Times New Roman"/>
          <w:b w:val="0"/>
          <w:i w:val="0"/>
          <w:color w:val="000000"/>
          <w:sz w:val="24"/>
        </w:rPr>
        <w:t>cuatro figuras sobre series, distribuciones, correlaciones y calidad.</w:t>
      </w:r>
    </w:p>
    <w:p>
      <w:pPr>
        <w:keepLines/>
        <w:spacing w:after="120" w:line="276" w:lineRule="auto"/>
        <w:jc w:val="both"/>
      </w:pPr>
      <w:r>
        <w:rPr>
          <w:rFonts w:ascii="Times New Roman" w:hAnsi="Times New Roman"/>
          <w:color w:val="000000"/>
          <w:sz w:val="24"/>
        </w:rP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pPr>
        <w:pStyle w:val="Heading2"/>
        <w:keepNext/>
        <w:pageBreakBefore w:val="0"/>
      </w:pPr>
      <w:r>
        <w:rPr>
          <w:rFonts w:ascii="Times New Roman" w:hAnsi="Times New Roman" w:eastAsia="Times New Roman"/>
          <w:b/>
          <w:i w:val="0"/>
          <w:sz w:val="28"/>
        </w:rPr>
        <w:t>4.3. Desarrollo y evaluación del modelo predictivo</w:t>
      </w:r>
    </w:p>
    <w:p>
      <w:pPr>
        <w:spacing w:after="120"/>
      </w:pPr>
      <w:r>
        <w:t xml:space="preserve">El objetivo de esta fase es comprobar si un modelo puede anticipar la necesidad neta diaria de riego publicada por SiAR para el piloto de pimiento en la estación </w:t>
      </w:r>
      <w:r>
        <w:rPr>
          <w:rFonts w:ascii="Consolas" w:hAnsi="Consolas"/>
          <w:sz w:val="19"/>
        </w:rPr>
        <w:t>AL01</w:t>
      </w:r>
      <w:r>
        <w:t xml:space="preserve"> La Mojonera. La variable objetivo, </w:t>
      </w:r>
      <w:r>
        <w:rPr>
          <w:rFonts w:ascii="Consolas" w:hAnsi="Consolas"/>
          <w:sz w:val="19"/>
        </w:rPr>
        <w:t>target_net_irrigation_need_mm</w:t>
      </w:r>
      <w:r>
        <w:t>, es una referencia agronómica calculada y no una medición del riego aplicado ni de la respuesta real del cultivo. Por ello, el experimento demuestra la viabilidad del flujo de modelización del DSS, pero no permite afirmar todavía que se optimice el consumo de agua.</w:t>
      </w:r>
    </w:p>
    <w:p>
      <w:pPr>
        <w:pStyle w:val="Heading3"/>
        <w:keepNext/>
      </w:pPr>
      <w:r>
        <w:rPr>
          <w:rFonts w:ascii="Times New Roman" w:hAnsi="Times New Roman"/>
          <w:color w:val="000000"/>
          <w:sz w:val="24"/>
        </w:rPr>
        <w:t>4.3.1. Conjunto de modelización y prevención de fuga de información</w:t>
      </w:r>
    </w:p>
    <w:p>
      <w:pPr>
        <w:spacing w:after="120"/>
      </w:pPr>
      <w:r>
        <w:t>El entrenamiento consume directamente la tabla analítica construida en el apartado 4.2 (</w:t>
      </w:r>
      <w:r>
        <w:rPr>
          <w:rFonts w:ascii="Consolas" w:hAnsi="Consolas"/>
          <w:sz w:val="19"/>
        </w:rPr>
        <w:t>data/processed/modeling_dataset_daily.csv</w:t>
      </w:r>
      <w:r>
        <w:t>). Así se mantiene la trazabilidad entre extracción, preparación y modelización, y se evita repetir transformaciones con criterios diferentes. De los 150 días del ciclo, 148 disponen de objetivo válido y participan en el experimento.</w:t>
      </w:r>
    </w:p>
    <w:p>
      <w:pPr>
        <w:spacing w:after="120"/>
      </w:pPr>
      <w:r>
        <w:t>Los nueve predictores utilizados son el coeficiente de cultivo conocido para la fecha; la codificación cíclica del día del año; los retardos de 1, 3 y 7 días de la necesidad neta; y sus acumulados históricos de 3, 7 y 14 días. Todos ellos están disponibles antes del día que se desea estimar. Los retardos se calculan por fecha de calendario: si falta el día anterior, el retardo de un día queda ausente y no se sustituye por la última fila disponible.</w:t>
      </w:r>
    </w:p>
    <w:p>
      <w:pPr>
        <w:spacing w:after="120"/>
      </w:pPr>
      <w:r>
        <w:t xml:space="preserve">Se excluyen expresamente la ET0, la ETc y la precipitación efectiva del mismo día, así como las variables diagnósticas derivadas de ellas. La referencia SiAR se aproxima mediante </w:t>
      </w:r>
      <w:r>
        <w:rPr>
          <w:rFonts w:ascii="Consolas" w:hAnsi="Consolas"/>
          <w:sz w:val="19"/>
        </w:rPr>
        <w:t>max(ET0 × Kc − Pe, 0)</w:t>
      </w:r>
      <w:r>
        <w:t>; incluir esos campos permitiría reconstruir el objetivo de forma algebraica y produciría métricas aparentemente buenas sin capacidad predictiva real. Los valores ausentes restantes se imputan con la mediana aprendida exclusivamente en cada periodo de entrenamiento.</w:t>
      </w:r>
    </w:p>
    <w:p>
      <w:pPr>
        <w:pStyle w:val="Heading3"/>
        <w:keepNext/>
      </w:pPr>
      <w:r>
        <w:rPr>
          <w:rFonts w:ascii="Times New Roman" w:hAnsi="Times New Roman"/>
          <w:color w:val="000000"/>
          <w:sz w:val="24"/>
        </w:rPr>
        <w:t>4.3.2. Diseño de validación temporal</w:t>
      </w:r>
    </w:p>
    <w:p>
      <w:pPr>
        <w:keepLines/>
        <w:spacing w:after="120"/>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w:t>
      </w:r>
    </w:p>
    <w:p>
      <w:pPr>
        <w:spacing w:after="120"/>
      </w:pPr>
      <w:r>
        <w:t>Este diseño es más robusto que escoger un modelo mediante una sola partición, porque permite observar si su rendimiento se mantiene a medida que avanza el ciclo del cultivo. El bloque de prueba se consulta una sola vez después de seleccionar el enfoque con menor MAE medio de validación. Se fija la semilla 42 y las predicciones se limitan a un mínimo físico de 0 mm/día.</w:t>
      </w:r>
    </w:p>
    <w:p>
      <w:pPr>
        <w:pStyle w:val="Heading3"/>
        <w:keepNext/>
      </w:pPr>
      <w:r>
        <w:rPr>
          <w:rFonts w:ascii="Times New Roman" w:hAnsi="Times New Roman"/>
          <w:color w:val="000000"/>
          <w:sz w:val="24"/>
        </w:rPr>
        <w:t>4.3.3. Enfoques comparados</w:t>
      </w:r>
    </w:p>
    <w:p>
      <w:pPr>
        <w:spacing w:after="120"/>
      </w:pPr>
      <w:r>
        <w:t>Se comparan seis alternativas con distinta complejidad. Los tres enfoques iniciales se conservan y se añaden KNN, SVR y XGBoost para ampliar la evidencia antes de elegir el modelo:</w:t>
      </w:r>
    </w:p>
    <w:p>
      <w:pPr>
        <w:spacing w:after="60"/>
        <w:ind w:left="360" w:hanging="259"/>
      </w:pPr>
      <w:r>
        <w:t xml:space="preserve">1. </w:t>
      </w:r>
      <w:r>
        <w:rPr>
          <w:b/>
        </w:rPr>
        <w:t>Persistencia:</w:t>
      </w:r>
      <w:r>
        <w:t xml:space="preserve"> para una predicción a un día, asigna al día </w:t>
      </w:r>
      <w:r>
        <w:rPr>
          <w:rFonts w:ascii="Consolas" w:hAnsi="Consolas"/>
          <w:sz w:val="19"/>
        </w:rPr>
        <w:t>t</w:t>
      </w:r>
      <w:r>
        <w:t xml:space="preserve"> la necesidad observada en </w:t>
      </w:r>
      <w:r>
        <w:rPr>
          <w:rFonts w:ascii="Consolas" w:hAnsi="Consolas"/>
          <w:sz w:val="19"/>
        </w:rPr>
        <w:t>t-1</w:t>
      </w:r>
      <w:r>
        <w:t>. Si el retardo no está disponible, utiliza la mediana aprendida en el periodo de entrenamiento. No es un algoritmo de aprendizaje automático, sino un baseline temporal que los modelos más complejos deben superar.</w:t>
      </w:r>
    </w:p>
    <w:p>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pPr>
        <w:spacing w:after="60"/>
        <w:ind w:left="360" w:hanging="259"/>
      </w:pPr>
      <w:r>
        <w:t xml:space="preserve">5. </w:t>
      </w:r>
      <w:r>
        <w:rPr>
          <w:b/>
        </w:rPr>
        <w:t>Support Vector Regression:</w:t>
      </w:r>
      <w:r>
        <w:t xml:space="preserve"> utiliza un kernel RBF para representar relaciones no lineales. Se configura con </w:t>
      </w:r>
      <w:r>
        <w:rPr>
          <w:rFonts w:ascii="Consolas" w:hAnsi="Consolas"/>
          <w:sz w:val="19"/>
        </w:rPr>
        <w:t>C=10</w:t>
      </w:r>
      <w:r>
        <w:t xml:space="preserve"> y </w:t>
      </w:r>
      <w:r>
        <w:rPr>
          <w:rFonts w:ascii="Consolas" w:hAnsi="Consolas"/>
          <w:sz w:val="19"/>
        </w:rPr>
        <w:t>epsilon=0,1</w:t>
      </w:r>
      <w:r>
        <w:t>, precedido por imputación y estandarización.</w:t>
      </w:r>
    </w:p>
    <w:p>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pPr>
        <w:spacing w:after="120"/>
      </w:pPr>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pPr>
        <w:pStyle w:val="Heading3"/>
        <w:keepNext/>
      </w:pPr>
      <w:r>
        <w:rPr>
          <w:rFonts w:ascii="Times New Roman" w:hAnsi="Times New Roman"/>
          <w:color w:val="000000"/>
          <w:sz w:val="24"/>
        </w:rPr>
        <w:t>4.3.4. Métricas de evaluación</w:t>
      </w:r>
    </w:p>
    <w:p>
      <w:pPr>
        <w:spacing w:after="120"/>
      </w:pPr>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Esta última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pPr>
        <w:pStyle w:val="Heading3"/>
        <w:keepNext/>
      </w:pPr>
      <w:r>
        <w:rPr>
          <w:rFonts w:ascii="Times New Roman" w:hAnsi="Times New Roman"/>
          <w:color w:val="000000"/>
          <w:sz w:val="24"/>
        </w:rPr>
        <w:t>4.3.5. Resultados de validación</w:t>
      </w:r>
    </w:p>
    <w:p>
      <w:pPr>
        <w:spacing w:after="120"/>
      </w:pPr>
      <w:r>
        <w:rPr>
          <w:b/>
        </w:rPr>
        <w:t>Tabla 4.10. Rendimiento medio en los tres cortes de validación temporal.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Enfoque</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MAE diario (media ± desv.)</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RMSE diario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Sesgo diario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MAE semanal</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Persistencia</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0,434 ± 0,075</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0,644</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0,013</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0,926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Ridge</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0,602 ± 0,303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0,742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0,292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2,803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Random Forest</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1,118 ± 0,090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1,385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-0,432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6,396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KNN</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0,937 ± 0,284</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1,113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-0,413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5,383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SVR</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1,052 ± 0,136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1,263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-0,731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5,876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XGBoost</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1,141 ± 0,340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1,378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-0,535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6,607</w:t>
            </w:r>
          </w:p>
        </w:tc>
      </w:tr>
    </w:tbl>
    <w:p>
      <w:pPr>
        <w:spacing w:after="40"/>
      </w:pPr>
    </w:p>
    <w:p>
      <w:pPr>
        <w:spacing w:after="120"/>
      </w:pPr>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pPr>
        <w:keepNext/>
        <w:jc w:val="center"/>
      </w:pPr>
      <w:r>
        <w:drawing>
          <wp:inline xmlns:wp="http://schemas.openxmlformats.org/drawingml/2006/wordprocessingDrawing" xmlns:a="http://schemas.openxmlformats.org/drawingml/2006/main" xmlns:pic="http://schemas.openxmlformats.org/drawingml/2006/picture">
            <wp:extent cx="5577840" cy="2710339"/>
            <wp:docPr id="23" name="Picture 23"/>
            <wp:cNvGraphicFramePr>
              <a:graphicFrameLocks noChangeAspect="1"/>
            </wp:cNvGraphicFramePr>
            <a:graphic>
              <a:graphicData uri="http://schemas.openxmlformats.org/drawingml/2006/picture">
                <pic:pic>
                  <pic:nvPicPr>
                    <pic:cNvPr id="0" name="image.png"/>
                    <pic:cNvPicPr/>
                  </pic:nvPicPr>
                  <pic:blipFill>
                    <a:blip ns1:embed="rId15"/>
                    <a:stretch>
                      <a:fillRect/>
                    </a:stretch>
                  </pic:blipFill>
                  <pic:spPr>
                    <a:xfrm>
                      <a:off x="0" y="0"/>
                      <a:ext cx="5577840" cy="2710339"/>
                    </a:xfrm>
                    <a:prstGeom prst="rect"/>
                  </pic:spPr>
                </pic:pic>
              </a:graphicData>
            </a:graphic>
          </wp:inline>
        </w:drawing>
      </w:r>
    </w:p>
    <w:p>
      <w:pPr>
        <w:keepLines/>
        <w:jc w:val="center"/>
      </w:pPr>
      <w:r>
        <w:rPr>
          <w:i/>
          <w:sz w:val="20"/>
        </w:rPr>
        <w:t>Figura 4.6. Estabilidad temporal de los modelos durante la validación y comparación con la prueba final.</w:t>
      </w:r>
    </w:p>
    <w:p>
      <w:pPr>
        <w:pStyle w:val="Heading3"/>
        <w:keepNext/>
      </w:pPr>
      <w:r>
        <w:rPr>
          <w:rFonts w:ascii="Times New Roman" w:hAnsi="Times New Roman"/>
          <w:color w:val="000000"/>
          <w:sz w:val="24"/>
        </w:rPr>
        <w:t>4.3.6. Evaluación sobre el tramo de prueba</w:t>
      </w:r>
    </w:p>
    <w:p>
      <w:pPr>
        <w:spacing w:after="120"/>
      </w:pPr>
      <w:r>
        <w:rPr>
          <w:b/>
        </w:rPr>
        <w:t>Tabla 4.11. Resultados sobre el periodo de prueba reservado.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val="true"/>
          <w:cantSplit/>
        </w:trPr>
        <w:tc>
          <w:tcPr>
            <w:tcW w:type="dxa" w:w="1504"/>
            <w:vAlign w:val="center"/>
            <w:tcMar>
              <w:top w:w="90" w:type="dxa"/>
              <w:start w:w="100" w:type="dxa"/>
              <w:bottom w:w="90" w:type="dxa"/>
              <w:end w:w="100" w:type="dxa"/>
            </w:tcMar>
            <w:shd w:fill="1F4E78"/>
          </w:tcPr>
          <w:p>
            <w:pPr>
              <w:jc w:val="left"/>
            </w:pPr>
            <w:r>
              <w:rPr>
                <w:rFonts w:ascii="Times New Roman" w:hAnsi="Times New Roman"/>
                <w:b/>
                <w:color w:val="FFFFFF"/>
                <w:sz w:val="16"/>
              </w:rPr>
              <w:t>Enfoque</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MAE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RMSE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R²</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Sesgo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MAE semanal</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Persistencia</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0,120</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0,156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-0,561</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-0,000</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0,172</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Ridge</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0,314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0,352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-6,962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-0,310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1,784</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Random Forest</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0,583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-20,780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3,232</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KNN</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0,544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-19,211</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0,544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3,128</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SVR</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1,486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1,503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-143,726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1,486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8,543</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XGBoost</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0,766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0,782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-38,145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0,766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4,402</w:t>
            </w:r>
          </w:p>
        </w:tc>
      </w:tr>
    </w:tbl>
    <w:p>
      <w:pPr>
        <w:spacing w:after="40"/>
      </w:pPr>
    </w:p>
    <w:p>
      <w:pPr>
        <w:spacing w:after="120"/>
      </w:pPr>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pPr>
        <w:keepNext/>
        <w:jc w:val="center"/>
      </w:pPr>
      <w:r>
        <w:drawing>
          <wp:inline xmlns:wp="http://schemas.openxmlformats.org/drawingml/2006/wordprocessingDrawing" xmlns:a="http://schemas.openxmlformats.org/drawingml/2006/main" xmlns:pic="http://schemas.openxmlformats.org/drawingml/2006/picture">
            <wp:extent cx="5577840" cy="3537503"/>
            <wp:docPr id="24" name="Picture 24"/>
            <wp:cNvGraphicFramePr>
              <a:graphicFrameLocks noChangeAspect="1"/>
            </wp:cNvGraphicFramePr>
            <a:graphic>
              <a:graphicData uri="http://schemas.openxmlformats.org/drawingml/2006/picture">
                <pic:pic>
                  <pic:nvPicPr>
                    <pic:cNvPr id="0" name="image.png"/>
                    <pic:cNvPicPr/>
                  </pic:nvPicPr>
                  <pic:blipFill>
                    <a:blip ns1:embed="rId16"/>
                    <a:stretch>
                      <a:fillRect/>
                    </a:stretch>
                  </pic:blipFill>
                  <pic:spPr>
                    <a:xfrm>
                      <a:off x="0" y="0"/>
                      <a:ext cx="5577840" cy="3537503"/>
                    </a:xfrm>
                    <a:prstGeom prst="rect"/>
                  </pic:spPr>
                </pic:pic>
              </a:graphicData>
            </a:graphic>
          </wp:inline>
        </w:drawing>
      </w:r>
    </w:p>
    <w:p>
      <w:pPr>
        <w:keepLines/>
        <w:jc w:val="center"/>
      </w:pPr>
      <w:r>
        <w:rPr>
          <w:i/>
          <w:sz w:val="20"/>
        </w:rPr>
        <w:t>Figura 4.7. Predicciones y errores diarios de los seis enfoques en el tramo de prueba.</w:t>
      </w:r>
    </w:p>
    <w:p>
      <w:pPr>
        <w:pStyle w:val="Heading3"/>
        <w:keepNext/>
      </w:pPr>
      <w:r>
        <w:rPr>
          <w:rFonts w:ascii="Times New Roman" w:hAnsi="Times New Roman"/>
          <w:color w:val="000000"/>
          <w:sz w:val="24"/>
        </w:rPr>
        <w:t>4.3.7. Decisión e interpretación</w:t>
      </w:r>
    </w:p>
    <w:p>
      <w:pPr>
        <w:spacing w:after="120"/>
      </w:pPr>
      <w:r>
        <w:t>Con la evidencia disponible, la decisión técnica es mantener la persistencia como referencia predictiva del piloto y no desplegar todavía ninguno de los cinco algoritmos de aprendizaje. Ridge se conserva como el mejor candidato de machine learning para futuras comparaciones. Esto no significa que el aprendizaje automático carezca de utilidad, sino que la muestra actual —un único ciclo, cultivo y estación— no contiene información suficiente para demostrar una mejora estable frente a una serie muy autocorrelacionada.</w:t>
      </w:r>
    </w:p>
    <w:p>
      <w:pPr>
        <w:spacing w:after="120"/>
      </w:pPr>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pPr>
        <w:spacing w:after="120"/>
      </w:pPr>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pPr>
        <w:pStyle w:val="Heading3"/>
        <w:keepNext/>
      </w:pPr>
      <w:r>
        <w:rPr>
          <w:rFonts w:ascii="Times New Roman" w:hAnsi="Times New Roman"/>
          <w:color w:val="000000"/>
          <w:sz w:val="24"/>
        </w:rPr>
        <w:t>4.3.8. Limitaciones y evolución prevista</w:t>
      </w:r>
    </w:p>
    <w:p>
      <w:pPr>
        <w:spacing w:after="120"/>
      </w:pPr>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pPr>
        <w:spacing w:after="120"/>
      </w:pPr>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pPr>
        <w:pStyle w:val="Heading3"/>
        <w:keepNext/>
      </w:pPr>
      <w:r>
        <w:rPr>
          <w:rFonts w:ascii="Times New Roman" w:hAnsi="Times New Roman"/>
          <w:color w:val="000000"/>
          <w:sz w:val="24"/>
        </w:rPr>
        <w:t>4.3.9. Reproducibilidad y evidencias</w:t>
      </w:r>
    </w:p>
    <w:p>
      <w:pPr>
        <w:spacing w:after="120"/>
      </w:pPr>
      <w:r>
        <w:t xml:space="preserve">El flujo se implementa en </w:t>
      </w:r>
      <w:r>
        <w:rPr>
          <w:rFonts w:ascii="Consolas" w:hAnsi="Consolas"/>
          <w:sz w:val="19"/>
        </w:rPr>
        <w:t>src/models/train_evaluate.py</w:t>
      </w:r>
      <w:r>
        <w:t xml:space="preserve"> y se ejecuta con:</w:t>
      </w:r>
    </w:p>
    <w:p>
      <w:pPr>
        <w:spacing w:before="80" w:after="140"/>
        <w:ind w:left="360" w:right="216"/>
        <w:jc w:val="left"/>
        <w:shd w:fill="F2F2F2"/>
      </w:pPr>
      <w:r>
        <w:rPr>
          <w:rFonts w:ascii="Consolas" w:hAnsi="Consolas"/>
          <w:sz w:val="17"/>
        </w:rPr>
        <w:t>python -m src.models.train_evaluate</w:t>
      </w:r>
    </w:p>
    <w:p>
      <w:pPr>
        <w:spacing w:after="120"/>
      </w:pPr>
      <w:r>
        <w:t>El comando genera el informe completo de validación y prueba (</w:t>
      </w:r>
      <w:r>
        <w:rPr>
          <w:rFonts w:ascii="Consolas" w:hAnsi="Consolas"/>
          <w:sz w:val="19"/>
        </w:rPr>
        <w:t>docs/data_samples/model_evaluation_4_3.json</w:t>
      </w:r>
      <w:r>
        <w:t>), las predicciones de los seis enfoques para los 23 días finales (</w:t>
      </w:r>
      <w:r>
        <w:rPr>
          <w:rFonts w:ascii="Consolas" w:hAnsi="Consolas"/>
          <w:sz w:val="19"/>
        </w:rPr>
        <w:t>docs/data_samples/model_predictions_4_3.csv</w:t>
      </w:r>
      <w:r>
        <w:t>),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pPr>
        <w:pStyle w:val="Heading1"/>
      </w:pPr>
      <w:r>
        <w:t>5. Sistema de optimización y resultados</w:t>
      </w:r>
    </w:p>
    <w:p>
      <w:pPr>
        <w:pStyle w:val="Heading2"/>
        <w:keepNext/>
        <w:pageBreakBefore w:val="0"/>
      </w:pPr>
      <w:r>
        <w:rPr>
          <w:rFonts w:ascii="Times New Roman" w:hAnsi="Times New Roman" w:eastAsia="Times New Roman"/>
          <w:b/>
          <w:i w:val="0"/>
          <w:sz w:val="28"/>
        </w:rPr>
        <w:t>5.1. Diseño del sistema de recomendación de riego</w:t>
      </w:r>
    </w:p>
    <w:p>
      <w:pPr>
        <w:spacing w:after="120"/>
      </w:pPr>
      <w:r>
        <w:t>El capítulo anterior dejó dos resultados que condicionan el diseño del sistema. Por un lado, la necesidad neta publicada por SiAR puede reconstruirse a partir de la ET0, el coeficiente de cultivo y la precipitación efectiva, de modo que existe una referencia agronómica explicable para los días ya cerrados. Por otro, ninguno de los cinco algoritmos de aprendizaje automático evaluados en el apartado 4.3 superó de forma estable a la persistencia cuando se trata de anticipar el día siguiente. El motor de recomendación se ha construido a partir de ambas constataciones. Su función consiste en transformar la información disponible en una dosis de riego diaria y en un total para el horizonte solicitado, dejando constancia del origen de cada cifra y de las situaciones en las que la propuesta merece menos confianza.</w:t>
      </w:r>
    </w:p>
    <w:p>
      <w:pPr>
        <w:spacing w:after="120"/>
      </w:pPr>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Lo que ofrece es una referencia hídrica razonada, acompañada de las reglas que la han modificado y de las advertencias que deben revisarse antes de regar, en línea con el planteamiento híbrido descrito en el apartado 2.3 (Navarro-Hellín et al., 2016; Zhai et al., 2020).</w:t>
      </w:r>
    </w:p>
    <w:p>
      <w:pPr>
        <w:pStyle w:val="Heading3"/>
        <w:keepNext/>
      </w:pPr>
      <w:r>
        <w:rPr>
          <w:rFonts w:ascii="Times New Roman" w:hAnsi="Times New Roman"/>
          <w:color w:val="000000"/>
          <w:sz w:val="24"/>
        </w:rPr>
        <w:t>5.1.1. Requisitos de partida</w:t>
      </w:r>
    </w:p>
    <w:p>
      <w:pPr>
        <w:spacing w:after="120"/>
      </w:pPr>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pPr>
        <w:spacing w:after="120"/>
      </w:pPr>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pPr>
        <w:pStyle w:val="Heading3"/>
        <w:keepNext/>
      </w:pPr>
      <w:r>
        <w:rPr>
          <w:rFonts w:ascii="Times New Roman" w:hAnsi="Times New Roman"/>
          <w:color w:val="000000"/>
          <w:sz w:val="24"/>
        </w:rPr>
        <w:t>5.1.2. Arquitectura del motor</w:t>
      </w:r>
    </w:p>
    <w:p>
      <w:pPr>
        <w:spacing w:after="120"/>
      </w:pPr>
      <w:r>
        <w:t xml:space="preserve">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w:t>
      </w:r>
      <w:r>
        <w:rPr>
          <w:rFonts w:ascii="Consolas" w:hAnsi="Consolas"/>
          <w:sz w:val="19"/>
        </w:rPr>
        <w:t>src/dss</w:t>
      </w:r>
      <w:r>
        <w:t>, separada de los clientes de las APIs y de los módulos de modelado, de forma que puede reutilizarse desde la línea de comandos, desde la interfaz del apartado 5.2 o desde los scripts de validación del apartado 5.3.</w:t>
      </w:r>
    </w:p>
    <w:p>
      <w:pPr>
        <w:keepNext/>
        <w:jc w:val="center"/>
      </w:pPr>
      <w:r>
        <w:drawing>
          <wp:inline xmlns:wp="http://schemas.openxmlformats.org/drawingml/2006/wordprocessingDrawing" xmlns:a="http://schemas.openxmlformats.org/drawingml/2006/main" xmlns:pic="http://schemas.openxmlformats.org/drawingml/2006/picture">
            <wp:extent cx="5577840" cy="2783278"/>
            <wp:docPr id="25" name="Picture 25"/>
            <wp:cNvGraphicFramePr>
              <a:graphicFrameLocks noChangeAspect="1"/>
            </wp:cNvGraphicFramePr>
            <a:graphic>
              <a:graphicData uri="http://schemas.openxmlformats.org/drawingml/2006/picture">
                <pic:pic>
                  <pic:nvPicPr>
                    <pic:cNvPr id="0" name="image.png"/>
                    <pic:cNvPicPr/>
                  </pic:nvPicPr>
                  <pic:blipFill>
                    <a:blip ns1:embed="rId18"/>
                    <a:stretch>
                      <a:fillRect/>
                    </a:stretch>
                  </pic:blipFill>
                  <pic:spPr>
                    <a:xfrm>
                      <a:off x="0" y="0"/>
                      <a:ext cx="5577840" cy="2783278"/>
                    </a:xfrm>
                    <a:prstGeom prst="rect"/>
                  </pic:spPr>
                </pic:pic>
              </a:graphicData>
            </a:graphic>
          </wp:inline>
        </w:drawing>
      </w:r>
    </w:p>
    <w:p>
      <w:pPr>
        <w:keepLines/>
        <w:jc w:val="center"/>
      </w:pPr>
      <w:r>
        <w:rPr>
          <w:i/>
          <w:sz w:val="20"/>
        </w:rPr>
        <w:t>Figura 5.1. Flujo de una consulta en el motor de recomendación.</w:t>
      </w:r>
    </w:p>
    <w:p>
      <w:pPr>
        <w:spacing w:after="120"/>
      </w:pPr>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pPr>
        <w:pStyle w:val="Heading3"/>
        <w:keepNext/>
      </w:pPr>
      <w:r>
        <w:rPr>
          <w:rFonts w:ascii="Times New Roman" w:hAnsi="Times New Roman"/>
          <w:color w:val="000000"/>
          <w:sz w:val="24"/>
        </w:rPr>
        <w:t>5.1.3. Estimación de la necesidad neta</w:t>
      </w:r>
    </w:p>
    <w:p>
      <w:pPr>
        <w:spacing w:after="120"/>
      </w:pPr>
      <w:r>
        <w:t>El motor distingue dos modos de consulta. En el modo de seguimiento se analizan días ya cerrados y se aplica la expresión agronómica con las variables observadas:</w:t>
      </w:r>
    </w:p>
    <w:p>
      <w:pPr>
        <w:spacing w:before="80" w:after="140"/>
        <w:ind w:left="360" w:right="216"/>
        <w:jc w:val="left"/>
        <w:shd w:fill="F2F2F2"/>
      </w:pPr>
      <w:r>
        <w:rPr>
          <w:rFonts w:ascii="Consolas" w:hAnsi="Consolas"/>
          <w:sz w:val="17"/>
        </w:rPr>
        <w:t>necesidad neta = max(ET0 × Kc − Pe, 0)</w:t>
      </w:r>
    </w:p>
    <w:p>
      <w:pPr>
        <w:spacing w:after="120"/>
      </w:pPr>
      <w:r>
        <w:t>Este modo sirve para revisar a posteriori lo que debería haberse aplicado y para comparar la planificación con la referencia. En el modo de planificación, que es el uso operativo, la ET0 y la precipitación efectiva del día que se quiere regar todavía no se conocen. Para ese caso se establecieron tres vías con un orden de preferencia fijo.</w:t>
      </w:r>
    </w:p>
    <w:p>
      <w:pPr>
        <w:spacing w:after="120"/>
      </w:pPr>
      <w:r>
        <w:t>La vía preferente utiliza una ET0 prevista cuando el usuario o la fuente la proporcionan, ya sea el producto pronosticado de SiAR o una estimación calculada a partir de la predicción de AEMET.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pPr>
        <w:spacing w:after="120"/>
      </w:pPr>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pPr>
        <w:spacing w:after="120"/>
      </w:pPr>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pPr>
        <w:pStyle w:val="Heading3"/>
        <w:keepNext/>
      </w:pPr>
      <w:r>
        <w:rPr>
          <w:rFonts w:ascii="Times New Roman" w:hAnsi="Times New Roman"/>
          <w:color w:val="000000"/>
          <w:sz w:val="24"/>
        </w:rPr>
        <w:t>5.1.4. Reglas de decisión</w:t>
      </w:r>
    </w:p>
    <w:p>
      <w:pPr>
        <w:spacing w:after="120"/>
      </w:pPr>
      <w:r>
        <w:t>Sobre la estimación se aplica un conjunto de diez reglas, numeradas para que aparezcan en la salida con la misma denominación que en esta memoria. La Tabla 5.1 recoge su finalidad y su efecto.</w:t>
      </w:r>
    </w:p>
    <w:p>
      <w:pPr>
        <w:keepNext/>
        <w:spacing w:after="120"/>
      </w:pPr>
      <w:r>
        <w:rPr>
          <w:b/>
        </w:rPr>
        <w:t>Tabla 5.1. Reglas aplicadas por el motor de recomendación.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Regla</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Finalidad</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Efecto sobre la recomendación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R1 Cobertura de datos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Comprobar que existen observaciones recientes suficientes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Cambia de vía de estimación y añade un aviso cuando faltan datos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R2 Ciclo del cultivo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Evitar recomendaciones fuera del calendario publicado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No se emite recomendación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R3 Extrapolación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Detectar una ET0 alejada más de un 10 % del intervalo observado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extrapolación y confianza baja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R4 No negatividad</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Impedir dosis negativas cuando la lluvia supera la ETc</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La necesidad se fija en 0 mm</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R5 Lluvia prevista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Señalar episodios de lluvia de al menos 5 mm o probabilidad del 60 %</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aplazamiento sin descontar la lluvia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R6 Dosis bruta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Incorporar las pérdidas del sistema de aplicación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Dosis bruta = necesidad neta / eficiencia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R7 Dotación disponible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Respetar un límite semanal de agua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Reducción proporcional y aviso de déficit</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R8 Volumen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Expresar la dosis por parcela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1 mm sobre 1 ha equivale a 10 m3</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R9 Horizonte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Informar de que el error crece con la anticipación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indica el error medio esperado para ese día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R10 Kc completado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Dejar constancia de fechas no devueltas por la fuente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imputación del Kc</w:t>
            </w:r>
          </w:p>
        </w:tc>
      </w:tr>
    </w:tbl>
    <w:p>
      <w:pPr>
        <w:spacing w:after="40"/>
      </w:pPr>
    </w:p>
    <w:p>
      <w:pPr>
        <w:spacing w:after="120"/>
      </w:pPr>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pPr>
        <w:spacing w:after="120"/>
      </w:pPr>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pPr>
        <w:spacing w:after="120"/>
      </w:pPr>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Los umbrales de horizonte se apoyan en los errores medidos en el apartado 5.3 y pueden ajustarse cuando se disponga de más campañas.</w:t>
      </w:r>
    </w:p>
    <w:p>
      <w:pPr>
        <w:pStyle w:val="Heading3"/>
        <w:keepNext/>
      </w:pPr>
      <w:r>
        <w:rPr>
          <w:rFonts w:ascii="Times New Roman" w:hAnsi="Times New Roman"/>
          <w:color w:val="000000"/>
          <w:sz w:val="24"/>
        </w:rPr>
        <w:t>5.1.5. Estructura de la salida</w:t>
      </w:r>
    </w:p>
    <w:p>
      <w:pPr>
        <w:spacing w:after="120"/>
      </w:pPr>
      <w:r>
        <w:t>Cada consulta genera una tabla diaria con dieciocho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pPr>
        <w:spacing w:after="120"/>
      </w:pPr>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dieciocho columnas.</w:t>
      </w:r>
    </w:p>
    <w:p>
      <w:pPr>
        <w:pStyle w:val="Heading3"/>
        <w:keepNext/>
      </w:pPr>
      <w:r>
        <w:rPr>
          <w:rFonts w:ascii="Times New Roman" w:hAnsi="Times New Roman"/>
          <w:color w:val="000000"/>
          <w:sz w:val="24"/>
        </w:rPr>
        <w:t>5.1.6. Decisiones descartadas</w:t>
      </w:r>
    </w:p>
    <w:p>
      <w:pPr>
        <w:spacing w:after="120"/>
      </w:pPr>
      <w:r>
        <w:t>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pPr>
        <w:pStyle w:val="Heading2"/>
        <w:keepNext/>
        <w:pageBreakBefore w:val="0"/>
      </w:pPr>
      <w:r>
        <w:rPr>
          <w:rFonts w:ascii="Times New Roman" w:hAnsi="Times New Roman" w:eastAsia="Times New Roman"/>
          <w:b/>
          <w:i w:val="0"/>
          <w:sz w:val="28"/>
        </w:rPr>
        <w:t>5.2. Aplicación y visualización de resultados</w:t>
      </w:r>
    </w:p>
    <w:p>
      <w:pPr>
        <w:spacing w:after="120"/>
      </w:pPr>
      <w:r>
        <w:t xml:space="preserve">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w:t>
      </w:r>
      <w:r>
        <w:rPr>
          <w:rFonts w:ascii="Consolas" w:hAnsi="Consolas"/>
          <w:sz w:val="19"/>
        </w:rPr>
        <w:t>src/dss/engine.py</w:t>
      </w:r>
      <w:r>
        <w:t>, de modo que lo que se ve en pantalla coincide con lo que se valida en el apartado 5.3.</w:t>
      </w:r>
    </w:p>
    <w:p>
      <w:pPr>
        <w:pStyle w:val="Heading3"/>
        <w:keepNext/>
      </w:pPr>
      <w:r>
        <w:rPr>
          <w:rFonts w:ascii="Times New Roman" w:hAnsi="Times New Roman"/>
          <w:color w:val="000000"/>
          <w:sz w:val="24"/>
        </w:rPr>
        <w:t>5.2.1. Elección de la tecnología de presentación</w:t>
      </w:r>
    </w:p>
    <w:p>
      <w:pPr>
        <w:spacing w:after="120"/>
      </w:pPr>
      <w:r>
        <w:t>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miembro del tribunal o del equipo debería poder lanzar la aplicación desde el repositorio con las mismas dependencias que el resto del proyecto.</w:t>
      </w:r>
    </w:p>
    <w:p>
      <w:pPr>
        <w:spacing w:after="120"/>
      </w:pPr>
      <w:r>
        <w:t xml:space="preserve">Por esas razones se optó por Streamlit, una librería de Python que construye la interfaz a partir de un único script y vuelve a ejecutarlo cada vez que el usuario modifica un control (Streamlit, 2024). La aplicación se encuentra en </w:t>
      </w:r>
      <w:r>
        <w:rPr>
          <w:rFonts w:ascii="Consolas" w:hAnsi="Consolas"/>
          <w:sz w:val="19"/>
        </w:rPr>
        <w:t>src/dss/app_streamlit.py</w:t>
      </w:r>
      <w:r>
        <w:t xml:space="preserve"> y se arranca desde la raíz del repositorio con </w:t>
      </w:r>
      <w:r>
        <w:rPr>
          <w:rFonts w:ascii="Consolas" w:hAnsi="Consolas"/>
          <w:sz w:val="19"/>
        </w:rPr>
        <w:t>streamlit run src/dss/app_streamlit.py</w:t>
      </w:r>
      <w:r>
        <w:t>.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pPr>
        <w:pStyle w:val="Heading3"/>
        <w:keepNext/>
      </w:pPr>
      <w:r>
        <w:rPr>
          <w:rFonts w:ascii="Times New Roman" w:hAnsi="Times New Roman"/>
          <w:color w:val="000000"/>
          <w:sz w:val="24"/>
        </w:rPr>
        <w:t>5.2.2. Organización de la interfaz</w:t>
      </w:r>
    </w:p>
    <w:p>
      <w:pPr>
        <w:spacing w:after="120"/>
      </w:pPr>
      <w:r>
        <w:t>La pantalla se divide en un panel lateral de entrada y un área principal de resultados. El panel lateral agrupa los controles en tres bloques. En el primero se muestran el cultivo y la estación del caso analizado; están bloqueados porque el piloto valida una sola combinación, aunque el texto recuerda que el motor admite otras fuentes con el mismo formato. El segundo bloque recoge la consulta: el modo de planificación o seguimiento, la fecha de emisión y el horizonte de uno a siete días. El tercero describe la parcela: el sistema de riego, la eficiencia, que se rellena con el valor orientativo del sistema pero puede modificarse, la superficie y, de manera opcional, una dotación semanal. Una casilla final permite superponer la referencia SiAR calculada a posteriori, algo que solo tiene sentido en una demostración retrospectiva como la de este trabajo.</w:t>
      </w:r>
    </w:p>
    <w:p>
      <w:pPr>
        <w:spacing w:after="120"/>
      </w:pPr>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pPr>
        <w:spacing w:after="120"/>
      </w:pPr>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pPr>
        <w:pStyle w:val="Heading3"/>
        <w:keepNext/>
      </w:pPr>
      <w:r>
        <w:rPr>
          <w:rFonts w:ascii="Times New Roman" w:hAnsi="Times New Roman"/>
          <w:color w:val="000000"/>
          <w:sz w:val="24"/>
        </w:rPr>
        <w:t>5.2.3. Ejemplo de uso en un cambio de fase del cultivo</w:t>
      </w:r>
    </w:p>
    <w:p>
      <w:pPr>
        <w:spacing w:after="120"/>
      </w:pPr>
      <w:r>
        <w:t>Para ilustrar el funcionamiento se ha elegido una situación exigente: una planificación emitida el 28 de junio de 2025 con un horizonte de siete días, que atraviesa el paso del Kc de 0,70 a 0,90 el 1 de julio. Se considera riego por goteo con eficiencia del 90 % y una parcela de 1,5 ha. La Figura 5.2 reproduce la pantalla obtenida con la referencia SiAR superpuesta.</w:t>
      </w:r>
    </w:p>
    <w:p>
      <w:pPr>
        <w:keepNext/>
        <w:jc w:val="center"/>
      </w:pPr>
      <w:r>
        <w:drawing>
          <wp:inline xmlns:wp="http://schemas.openxmlformats.org/drawingml/2006/wordprocessingDrawing" xmlns:a="http://schemas.openxmlformats.org/drawingml/2006/main" xmlns:pic="http://schemas.openxmlformats.org/drawingml/2006/picture">
            <wp:extent cx="5577840" cy="4648200"/>
            <wp:docPr id="26" name="Picture 26"/>
            <wp:cNvGraphicFramePr>
              <a:graphicFrameLocks noChangeAspect="1"/>
            </wp:cNvGraphicFramePr>
            <a:graphic>
              <a:graphicData uri="http://schemas.openxmlformats.org/drawingml/2006/picture">
                <pic:pic>
                  <pic:nvPicPr>
                    <pic:cNvPr id="0" name="image.png"/>
                    <pic:cNvPicPr/>
                  </pic:nvPicPr>
                  <pic:blipFill>
                    <a:blip ns1:embed="rId19"/>
                    <a:stretch>
                      <a:fillRect/>
                    </a:stretch>
                  </pic:blipFill>
                  <pic:spPr>
                    <a:xfrm>
                      <a:off x="0" y="0"/>
                      <a:ext cx="5577840" cy="4648200"/>
                    </a:xfrm>
                    <a:prstGeom prst="rect"/>
                  </pic:spPr>
                </pic:pic>
              </a:graphicData>
            </a:graphic>
          </wp:inline>
        </w:drawing>
      </w:r>
    </w:p>
    <w:p>
      <w:pPr>
        <w:keepLines/>
        <w:jc w:val="center"/>
      </w:pPr>
      <w:r>
        <w:rPr>
          <w:i/>
          <w:sz w:val="20"/>
        </w:rPr>
        <w:t>Figura 5.2. Interfaz del DSS para una planificación emitida el 28 de junio de 2025, con la referencia SiAR superpuesta.</w:t>
      </w:r>
    </w:p>
    <w:p>
      <w:pPr>
        <w:spacing w:after="120"/>
      </w:pPr>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pPr>
        <w:keepNext/>
        <w:spacing w:after="120"/>
      </w:pPr>
      <w:r>
        <w:rPr>
          <w:b/>
        </w:rPr>
        <w:t>Tabla 5.2. Planificación emitida el 28 de junio de 2025 frente a la referencia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9"/>
        <w:gridCol w:w="1128"/>
        <w:gridCol w:w="1128"/>
        <w:gridCol w:w="1128"/>
        <w:gridCol w:w="1128"/>
        <w:gridCol w:w="1128"/>
        <w:gridCol w:w="1128"/>
        <w:gridCol w:w="1128"/>
      </w:tblGrid>
      <w:tr>
        <w:trPr>
          <w:tblHeader w:val="true"/>
          <w:cantSplit/>
        </w:trPr>
        <w:tc>
          <w:tcPr>
            <w:tcW w:type="dxa" w:w="1129"/>
            <w:vAlign w:val="center"/>
            <w:tcMar>
              <w:top w:w="90" w:type="dxa"/>
              <w:start w:w="100" w:type="dxa"/>
              <w:bottom w:w="90" w:type="dxa"/>
              <w:end w:w="100" w:type="dxa"/>
            </w:tcMar>
            <w:shd w:fill="1F4E78"/>
          </w:tcPr>
          <w:p>
            <w:pPr>
              <w:jc w:val="left"/>
            </w:pPr>
            <w:r>
              <w:rPr>
                <w:rFonts w:ascii="Times New Roman" w:hAnsi="Times New Roman"/>
                <w:color w:val="FFFFFF"/>
                <w:sz w:val="16"/>
                <w:b/>
              </w:rPr>
              <w:t>Fecha</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Kc</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Necesidad DSS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Referencia SiAR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Dosis bruta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Volumen (m3)</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Confianza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28/06/2025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4,44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29/06/2025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4,17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30/06/2025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4,26</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01/07/2025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5,45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02/07/2025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5,52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03/07/2025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6,24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04/07/2025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7,07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b/>
              </w:rPr>
              <w:t>Total</w:t>
            </w:r>
          </w:p>
        </w:tc>
        <w:tc>
          <w:tcPr>
            <w:tcW w:type="dxa" w:w="1128"/>
            <w:vAlign w:val="center"/>
            <w:tcMar>
              <w:top w:w="90" w:type="dxa"/>
              <w:start w:w="100" w:type="dxa"/>
              <w:bottom w:w="90" w:type="dxa"/>
              <w:end w:w="100" w:type="dxa"/>
            </w:tcMar>
          </w:tcPr>
          <w:p>
            <w:pPr>
              <w:jc w:val="center"/>
            </w:pPr>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b/>
              </w:rPr>
              <w:t>38,96</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b/>
              </w:rPr>
              <w:t>30,38</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b/>
              </w:rPr>
              <w:t>37,15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b/>
              </w:rPr>
              <w:t>43,29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b/>
              </w:rPr>
              <w:t>649</w:t>
            </w:r>
          </w:p>
        </w:tc>
        <w:tc>
          <w:tcPr>
            <w:tcW w:type="dxa" w:w="1128"/>
            <w:vAlign w:val="center"/>
            <w:tcMar>
              <w:top w:w="90" w:type="dxa"/>
              <w:start w:w="100" w:type="dxa"/>
              <w:bottom w:w="90" w:type="dxa"/>
              <w:end w:w="100" w:type="dxa"/>
            </w:tcMar>
          </w:tcPr>
          <w:p>
            <w:pPr>
              <w:jc w:val="center"/>
            </w:pPr>
            <w:r/>
          </w:p>
        </w:tc>
      </w:tr>
    </w:tbl>
    <w:p>
      <w:pPr>
        <w:spacing w:after="40"/>
      </w:pPr>
    </w:p>
    <w:p>
      <w:pPr>
        <w:spacing w:after="120"/>
      </w:pPr>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pPr>
        <w:spacing w:after="120"/>
      </w:pPr>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pPr>
        <w:pStyle w:val="Heading3"/>
        <w:keepNext/>
      </w:pPr>
      <w:r>
        <w:rPr>
          <w:rFonts w:ascii="Times New Roman" w:hAnsi="Times New Roman"/>
          <w:color w:val="000000"/>
          <w:sz w:val="24"/>
        </w:rPr>
        <w:t>5.2.4. Uso desde la línea de comandos</w:t>
      </w:r>
    </w:p>
    <w:p>
      <w:pPr>
        <w:spacing w:after="120"/>
      </w:pPr>
      <w:r>
        <w:t>La misma consulta puede lanzarse sin interfaz, lo que resulta útil para programar una recomendación diaria o para integrarla en otro sistema:</w:t>
      </w:r>
    </w:p>
    <w:p>
      <w:pPr>
        <w:spacing w:before="80" w:after="140"/>
        <w:ind w:left="360" w:right="216"/>
        <w:jc w:val="left"/>
        <w:shd w:fill="F2F2F2"/>
      </w:pPr>
      <w:r>
        <w:rPr>
          <w:rFonts w:ascii="Consolas" w:hAnsi="Consolas"/>
          <w:sz w:val="17"/>
        </w:rPr>
        <w:t>python -m src.dss.recommend --fecha 2025-06-28 --horizonte 7 --superficie 1.5</w:t>
      </w:r>
    </w:p>
    <w:p>
      <w:pPr>
        <w:spacing w:after="120"/>
      </w:pPr>
      <w:r>
        <w:t xml:space="preserve">El comando escribe en la consola la explicación de cada día y los totales, y guarda la tabla diaria y el resumen en </w:t>
      </w:r>
      <w:r>
        <w:rPr>
          <w:rFonts w:ascii="Consolas" w:hAnsi="Consolas"/>
          <w:sz w:val="19"/>
        </w:rPr>
        <w:t>results/reports</w:t>
      </w:r>
      <w:r>
        <w:t xml:space="preserve"> en formato CSV y JSON. Los argumentos opcionales permiten indicar otro sistema de riego, una eficiencia propia, una dotación semanal, el modo de seguimiento o un archivo con ET0 o lluvia prevista. El ejemplo de la Tabla 5.2 se conserva también como muestra versionada en </w:t>
      </w:r>
      <w:r>
        <w:rPr>
          <w:rFonts w:ascii="Consolas" w:hAnsi="Consolas"/>
          <w:sz w:val="19"/>
        </w:rPr>
        <w:t>docs/data_samples/dss_recommendation_example_5_2.csv</w:t>
      </w:r>
      <w:r>
        <w:t>.</w:t>
      </w:r>
    </w:p>
    <w:p>
      <w:pPr>
        <w:pStyle w:val="Heading3"/>
        <w:keepNext/>
      </w:pPr>
      <w:r>
        <w:rPr>
          <w:rFonts w:ascii="Times New Roman" w:hAnsi="Times New Roman"/>
          <w:color w:val="000000"/>
          <w:sz w:val="24"/>
        </w:rPr>
        <w:t>5.2.5. Visualización de la campaña</w:t>
      </w:r>
    </w:p>
    <w:p>
      <w:pPr>
        <w:spacing w:after="120"/>
      </w:pPr>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pPr>
        <w:pStyle w:val="Heading3"/>
        <w:keepNext/>
      </w:pPr>
      <w:r>
        <w:rPr>
          <w:rFonts w:ascii="Times New Roman" w:hAnsi="Times New Roman"/>
          <w:color w:val="000000"/>
          <w:sz w:val="24"/>
        </w:rPr>
        <w:t>5.2.6. Limitaciones de la aplicación</w:t>
      </w:r>
    </w:p>
    <w:p>
      <w:pPr>
        <w:spacing w:after="120"/>
      </w:pPr>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pPr>
        <w:pStyle w:val="Heading2"/>
        <w:keepNext/>
        <w:pageBreakBefore w:val="0"/>
      </w:pPr>
      <w:r>
        <w:rPr>
          <w:rFonts w:ascii="Times New Roman" w:hAnsi="Times New Roman" w:eastAsia="Times New Roman"/>
          <w:b/>
          <w:i w:val="0"/>
          <w:sz w:val="28"/>
        </w:rPr>
        <w:t>5.3. Validación, resultados y análisis crítico</w:t>
      </w:r>
    </w:p>
    <w:p>
      <w:pPr>
        <w:spacing w:after="120"/>
      </w:pPr>
      <w:r>
        <w:t xml:space="preserve">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w:t>
      </w:r>
      <w:r>
        <w:rPr>
          <w:rFonts w:ascii="Consolas" w:hAnsi="Consolas"/>
          <w:sz w:val="19"/>
        </w:rPr>
        <w:t>src/analysis/build_validation_5_3.py</w:t>
      </w:r>
      <w:r>
        <w:t>, que las regenera a partir del CSV oficial del piloto.</w:t>
      </w:r>
    </w:p>
    <w:p>
      <w:pPr>
        <w:spacing w:after="120"/>
      </w:pPr>
      <w:r>
        <w:t>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que se presenta es, por tanto, una validación técnica del prototipo con escenarios documentados. Demostrar un ahorro de agua o una mejora productiva exigiría un ensayo de campo con un diseño distinto, algo que queda fuera del alcance declarado en el apartado 1.3.</w:t>
      </w:r>
    </w:p>
    <w:p>
      <w:pPr>
        <w:pStyle w:val="Heading3"/>
        <w:keepNext/>
      </w:pPr>
      <w:r>
        <w:rPr>
          <w:rFonts w:ascii="Times New Roman" w:hAnsi="Times New Roman"/>
          <w:color w:val="000000"/>
          <w:sz w:val="24"/>
        </w:rPr>
        <w:t>5.3.1. Fidelidad de la vía agronómica</w:t>
      </w:r>
    </w:p>
    <w:p>
      <w:pPr>
        <w:spacing w:after="120"/>
      </w:pPr>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pPr>
        <w:spacing w:after="120"/>
      </w:pPr>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pPr>
        <w:pStyle w:val="Heading3"/>
        <w:keepNext/>
      </w:pPr>
      <w:r>
        <w:rPr>
          <w:rFonts w:ascii="Times New Roman" w:hAnsi="Times New Roman"/>
          <w:color w:val="000000"/>
          <w:sz w:val="24"/>
        </w:rPr>
        <w:t>5.3.2. Selección de la ventana de ET0</w:t>
      </w:r>
    </w:p>
    <w:p>
      <w:pPr>
        <w:spacing w:after="120"/>
      </w:pPr>
      <w:r>
        <w:t>La vía por defecto del sistema promedia la ET0 de los días anteriores. Antes de fijar la longitud de esa ventana se evaluaron cinco alternativas, de uno a catorce días, simulando emisiones diarias con horizontes de uno a siete días. Para mantener la coherencia con el capítulo 4, se utilizó como prueba el mismo tramo reservado, del 8 al 30 de septiembre, y la selección se hizo únicamente con el periodo de desarrollo. Como criterio se fijó, antes de calcular los resultados, elegir la ventana más corta cuyo error no superase al mínimo en más de un 1 %, porque una ventana corta reacciona antes ante un cambio de tiempo.</w:t>
      </w:r>
    </w:p>
    <w:p>
      <w:pPr>
        <w:keepNext/>
        <w:spacing w:after="120"/>
      </w:pPr>
      <w:r>
        <w:rPr>
          <w:b/>
        </w:rPr>
        <w:t>Tabla 5.3. MAE medio de los horizontes 1 a 7 según la ventana de ET0 (mm/día).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Ventana</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Desarrollo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Prueba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1 día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0,517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0,127</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3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0,494</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0,110</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5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0,484</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0,101</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7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b/>
              </w:rPr>
              <w:t>0,471</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b/>
              </w:rPr>
              <w:t>0,101</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14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0,469</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0,124</w:t>
            </w:r>
          </w:p>
        </w:tc>
      </w:tr>
    </w:tbl>
    <w:p>
      <w:pPr>
        <w:spacing w:after="40"/>
      </w:pPr>
    </w:p>
    <w:p>
      <w:pPr>
        <w:spacing w:after="120"/>
      </w:pPr>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pPr>
        <w:pStyle w:val="Heading3"/>
        <w:keepNext/>
      </w:pPr>
      <w:r>
        <w:rPr>
          <w:rFonts w:ascii="Times New Roman" w:hAnsi="Times New Roman"/>
          <w:color w:val="000000"/>
          <w:sz w:val="24"/>
        </w:rPr>
        <w:t>5.3.3. Error de la recomendación a un día</w:t>
      </w:r>
    </w:p>
    <w:p>
      <w:pPr>
        <w:spacing w:after="120"/>
      </w:pPr>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pPr>
        <w:keepNext/>
        <w:spacing w:after="120"/>
      </w:pPr>
      <w:r>
        <w:rPr>
          <w:b/>
        </w:rPr>
        <w:t>Tabla 5.4. Error de la recomendación a un día frente a la referencia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5"/>
        <w:gridCol w:w="1504"/>
        <w:gridCol w:w="1504"/>
        <w:gridCol w:w="1504"/>
        <w:gridCol w:w="1504"/>
        <w:gridCol w:w="1504"/>
      </w:tblGrid>
      <w:tr>
        <w:trPr>
          <w:tblHeader w:val="true"/>
          <w:cantSplit/>
        </w:trPr>
        <w:tc>
          <w:tcPr>
            <w:tcW w:type="dxa" w:w="1505"/>
            <w:vAlign w:val="center"/>
            <w:tcMar>
              <w:top w:w="90" w:type="dxa"/>
              <w:start w:w="100" w:type="dxa"/>
              <w:bottom w:w="90" w:type="dxa"/>
              <w:end w:w="100" w:type="dxa"/>
            </w:tcMar>
            <w:shd w:fill="1F4E78"/>
          </w:tcPr>
          <w:p>
            <w:pPr>
              <w:jc w:val="left"/>
            </w:pPr>
            <w:r>
              <w:rPr>
                <w:rFonts w:ascii="Times New Roman" w:hAnsi="Times New Roman"/>
                <w:color w:val="FFFFFF"/>
                <w:sz w:val="16"/>
                <w:b/>
              </w:rPr>
              <w:t>Periodo</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Enfoque</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Días</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MAE (mm)</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RMSE (mm)</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Sesgo (mm)</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Desarrollo</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DSS (ET0 reciente × Kc)</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124</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0,417</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0,583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0,044</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Desarrollo</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Persistencia</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124</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0,449</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0,710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0,012</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Prueba</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DSS (ET0 reciente × Kc)</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0,090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0,113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0,047</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Prueba</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Persistencia</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0,120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0,156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0,000</w:t>
            </w:r>
          </w:p>
        </w:tc>
      </w:tr>
    </w:tbl>
    <w:p>
      <w:pPr>
        <w:spacing w:after="40"/>
      </w:pPr>
    </w:p>
    <w:p>
      <w:pPr>
        <w:spacing w:after="120"/>
      </w:pPr>
      <w:r>
        <w:t>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4.10, porque aquí se evalúan todas las emisiones del periodo y no tres cortes de validación.</w:t>
      </w:r>
    </w:p>
    <w:p>
      <w:pPr>
        <w:keepNext/>
        <w:jc w:val="center"/>
      </w:pPr>
      <w:r>
        <w:drawing>
          <wp:inline xmlns:wp="http://schemas.openxmlformats.org/drawingml/2006/wordprocessingDrawing" xmlns:a="http://schemas.openxmlformats.org/drawingml/2006/main" xmlns:pic="http://schemas.openxmlformats.org/drawingml/2006/picture">
            <wp:extent cx="5577840" cy="3442602"/>
            <wp:docPr id="27" name="Picture 27"/>
            <wp:cNvGraphicFramePr>
              <a:graphicFrameLocks noChangeAspect="1"/>
            </wp:cNvGraphicFramePr>
            <a:graphic>
              <a:graphicData uri="http://schemas.openxmlformats.org/drawingml/2006/picture">
                <pic:pic>
                  <pic:nvPicPr>
                    <pic:cNvPr id="0" name="image.png"/>
                    <pic:cNvPicPr/>
                  </pic:nvPicPr>
                  <pic:blipFill>
                    <a:blip ns1:embed="rId20"/>
                    <a:stretch>
                      <a:fillRect/>
                    </a:stretch>
                  </pic:blipFill>
                  <pic:spPr>
                    <a:xfrm>
                      <a:off x="0" y="0"/>
                      <a:ext cx="5577840" cy="3442602"/>
                    </a:xfrm>
                    <a:prstGeom prst="rect"/>
                  </pic:spPr>
                </pic:pic>
              </a:graphicData>
            </a:graphic>
          </wp:inline>
        </w:drawing>
      </w:r>
    </w:p>
    <w:p>
      <w:pPr>
        <w:keepLines/>
        <w:jc w:val="center"/>
      </w:pPr>
      <w:r>
        <w:rPr>
          <w:i/>
          <w:sz w:val="20"/>
        </w:rPr>
        <w:t>Figura 5.3. Recomendaciones emitidas cada día con la información del día anterior y error frente a la referencia SiAR.</w:t>
      </w:r>
    </w:p>
    <w:p>
      <w:pPr>
        <w:spacing w:after="120"/>
      </w:pPr>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pPr>
        <w:spacing w:after="120"/>
      </w:pPr>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pPr>
        <w:pStyle w:val="Heading3"/>
        <w:keepNext/>
      </w:pPr>
      <w:r>
        <w:rPr>
          <w:rFonts w:ascii="Times New Roman" w:hAnsi="Times New Roman"/>
          <w:color w:val="000000"/>
          <w:sz w:val="24"/>
        </w:rPr>
        <w:t>5.3.4. Error según el horizonte de planificación</w:t>
      </w:r>
    </w:p>
    <w:p>
      <w:pPr>
        <w:spacing w:after="120"/>
      </w:pPr>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w:t>
      </w:r>
    </w:p>
    <w:p>
      <w:pPr>
        <w:keepNext/>
        <w:jc w:val="center"/>
      </w:pPr>
      <w:r>
        <w:drawing>
          <wp:inline xmlns:wp="http://schemas.openxmlformats.org/drawingml/2006/wordprocessingDrawing" xmlns:a="http://schemas.openxmlformats.org/drawingml/2006/main" xmlns:pic="http://schemas.openxmlformats.org/drawingml/2006/picture">
            <wp:extent cx="5577840" cy="1981650"/>
            <wp:docPr id="28" name="Picture 28"/>
            <wp:cNvGraphicFramePr>
              <a:graphicFrameLocks noChangeAspect="1"/>
            </wp:cNvGraphicFramePr>
            <a:graphic>
              <a:graphicData uri="http://schemas.openxmlformats.org/drawingml/2006/picture">
                <pic:pic>
                  <pic:nvPicPr>
                    <pic:cNvPr id="0" name="image.png"/>
                    <pic:cNvPicPr/>
                  </pic:nvPicPr>
                  <pic:blipFill>
                    <a:blip ns1:embed="rId21"/>
                    <a:stretch>
                      <a:fillRect/>
                    </a:stretch>
                  </pic:blipFill>
                  <pic:spPr>
                    <a:xfrm>
                      <a:off x="0" y="0"/>
                      <a:ext cx="5577840" cy="1981650"/>
                    </a:xfrm>
                    <a:prstGeom prst="rect"/>
                  </pic:spPr>
                </pic:pic>
              </a:graphicData>
            </a:graphic>
          </wp:inline>
        </w:drawing>
      </w:r>
    </w:p>
    <w:p>
      <w:pPr>
        <w:keepLines/>
        <w:jc w:val="center"/>
      </w:pPr>
      <w:r>
        <w:rPr>
          <w:i/>
          <w:sz w:val="20"/>
        </w:rPr>
        <w:t>Figura 5.4. MAE diario según el día del horizonte en los periodos de desarrollo y prueba.</w:t>
      </w:r>
    </w:p>
    <w:p>
      <w:pPr>
        <w:keepNext/>
        <w:spacing w:after="120"/>
      </w:pPr>
      <w:r>
        <w:rPr>
          <w:b/>
        </w:rPr>
        <w:t>Tabla 5.5. MAE diario según el día del horizonte (mm/día).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color w:val="FFFFFF"/>
                <w:sz w:val="16"/>
                <w:b/>
              </w:rPr>
              <w:t>Día del horizonte</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desarrollo</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DSS, desarrollo</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prueba</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DSS, prueba</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0,467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0,435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0,090</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0,613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0,469</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0,115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0,092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0,652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0,476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0,084</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4</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0,702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0,477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0,092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0,754</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0,481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0,101</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0,813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0,482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0,141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0,871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0,477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0,134</w:t>
            </w:r>
          </w:p>
        </w:tc>
      </w:tr>
    </w:tbl>
    <w:p>
      <w:pPr>
        <w:spacing w:after="40"/>
      </w:pPr>
    </w:p>
    <w:p>
      <w:pPr>
        <w:spacing w:after="120"/>
      </w:pPr>
      <w:r>
        <w:t>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pPr>
        <w:spacing w:after="120"/>
      </w:pPr>
      <w:r>
        <w:t>Estos resultados justifican tres decisiones del diseño. La primera es ofrecer horizontes de hasta siete días, puesto que el error se mantiene acotado y nunca empeora de manera brusca. La segunda es asignar confianza baja a partir del cuarto día, porque es a partir de ahí cuando el comportamiento empieza a depender de la evolución del tiempo. La tercera es mostrar en cada día el error esperado de la tabla anterior mediante la regla R9, en lugar de presentar una semana entera con la misma apariencia de certeza. Una mejora real en los horizontes largos requiere una ET0 prevista, cuya vía ya está preparada en el motor.</w:t>
      </w:r>
    </w:p>
    <w:p>
      <w:pPr>
        <w:pStyle w:val="Heading3"/>
        <w:keepNext/>
      </w:pPr>
      <w:r>
        <w:rPr>
          <w:rFonts w:ascii="Times New Roman" w:hAnsi="Times New Roman"/>
          <w:color w:val="000000"/>
          <w:sz w:val="24"/>
        </w:rPr>
        <w:t>5.3.5. Coherencia semanal</w:t>
      </w:r>
    </w:p>
    <w:p>
      <w:pPr>
        <w:spacing w:after="120"/>
      </w:pPr>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pPr>
        <w:keepNext/>
        <w:jc w:val="center"/>
      </w:pPr>
      <w:r>
        <w:drawing>
          <wp:inline xmlns:wp="http://schemas.openxmlformats.org/drawingml/2006/wordprocessingDrawing" xmlns:a="http://schemas.openxmlformats.org/drawingml/2006/main" xmlns:pic="http://schemas.openxmlformats.org/drawingml/2006/picture">
            <wp:extent cx="5577840" cy="1981650"/>
            <wp:docPr id="29" name="Picture 29"/>
            <wp:cNvGraphicFramePr>
              <a:graphicFrameLocks noChangeAspect="1"/>
            </wp:cNvGraphicFramePr>
            <a:graphic>
              <a:graphicData uri="http://schemas.openxmlformats.org/drawingml/2006/picture">
                <pic:pic>
                  <pic:nvPicPr>
                    <pic:cNvPr id="0" name="image.png"/>
                    <pic:cNvPicPr/>
                  </pic:nvPicPr>
                  <pic:blipFill>
                    <a:blip ns1:embed="rId22"/>
                    <a:stretch>
                      <a:fillRect/>
                    </a:stretch>
                  </pic:blipFill>
                  <pic:spPr>
                    <a:xfrm>
                      <a:off x="0" y="0"/>
                      <a:ext cx="5577840" cy="1981650"/>
                    </a:xfrm>
                    <a:prstGeom prst="rect"/>
                  </pic:spPr>
                </pic:pic>
              </a:graphicData>
            </a:graphic>
          </wp:inline>
        </w:drawing>
      </w:r>
    </w:p>
    <w:p>
      <w:pPr>
        <w:keepLines/>
        <w:jc w:val="center"/>
      </w:pPr>
      <w:r>
        <w:rPr>
          <w:i/>
          <w:sz w:val="20"/>
        </w:rPr>
        <w:t>Figura 5.5. Necesidad neta semanal planificada por el DSS frente a la referencia SiAR y dosis bruta para riego por goteo.</w:t>
      </w:r>
    </w:p>
    <w:p>
      <w:pPr>
        <w:spacing w:after="120"/>
      </w:pPr>
      <w:r>
        <w:t>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semana a otra. La Figura 5.5 permite comprobar también que la dosis bruta mantiene siempre la proporción fijada por la eficiencia y que la caída de septiembre se refleja desde la primera semana del mes.</w:t>
      </w:r>
    </w:p>
    <w:p>
      <w:pPr>
        <w:spacing w:after="120"/>
      </w:pPr>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pPr>
        <w:pStyle w:val="Heading3"/>
        <w:keepNext/>
      </w:pPr>
      <w:r>
        <w:rPr>
          <w:rFonts w:ascii="Times New Roman" w:hAnsi="Times New Roman"/>
          <w:color w:val="000000"/>
          <w:sz w:val="24"/>
        </w:rPr>
        <w:t>5.3.6. Sensibilidad a la eficiencia del riego</w:t>
      </w:r>
    </w:p>
    <w:p>
      <w:pPr>
        <w:spacing w:after="120"/>
      </w:pPr>
      <w:r>
        <w:t>La eficiencia es el parámetro que más modifica la cantidad de agua propuesta, y es también el más difícil de conocer con precisión. Aplicada sobre la necesidad neta de toda la campaña, la diferencia entre sistemas resulta considerable.</w:t>
      </w:r>
    </w:p>
    <w:p>
      <w:pPr>
        <w:keepNext/>
        <w:spacing w:after="120"/>
      </w:pPr>
      <w:r>
        <w:rPr>
          <w:b/>
        </w:rPr>
        <w:t>Tabla 5.6. Dosis bruta de la campaña según el sistema de riego.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7"/>
        <w:gridCol w:w="2256"/>
        <w:gridCol w:w="2256"/>
        <w:gridCol w:w="2256"/>
      </w:tblGrid>
      <w:tr>
        <w:trPr>
          <w:tblHeader w:val="true"/>
          <w:cantSplit/>
        </w:trPr>
        <w:tc>
          <w:tcPr>
            <w:tcW w:type="dxa" w:w="2257"/>
            <w:vAlign w:val="center"/>
            <w:tcMar>
              <w:top w:w="90" w:type="dxa"/>
              <w:start w:w="100" w:type="dxa"/>
              <w:bottom w:w="90" w:type="dxa"/>
              <w:end w:w="100" w:type="dxa"/>
            </w:tcMar>
            <w:shd w:fill="1F4E78"/>
          </w:tcPr>
          <w:p>
            <w:pPr>
              <w:jc w:val="left"/>
            </w:pPr>
            <w:r>
              <w:rPr>
                <w:rFonts w:ascii="Times New Roman" w:hAnsi="Times New Roman"/>
                <w:color w:val="FFFFFF"/>
                <w:sz w:val="16"/>
                <w:b/>
              </w:rPr>
              <w:t>Sistema</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Eficiencia</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Dosis bruta (mm)</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Volumen (m3/ha)</w:t>
            </w:r>
          </w:p>
        </w:tc>
      </w:tr>
      <w:tr>
        <w:trPr>
          <w:cantSplit/>
        </w:trPr>
        <w:tc>
          <w:tcPr>
            <w:tcW w:type="dxa" w:w="2257"/>
            <w:vAlign w:val="center"/>
            <w:tcMar>
              <w:top w:w="90" w:type="dxa"/>
              <w:start w:w="100" w:type="dxa"/>
              <w:bottom w:w="90" w:type="dxa"/>
              <w:end w:w="100" w:type="dxa"/>
            </w:tcMar>
          </w:tcPr>
          <w:p>
            <w:pPr>
              <w:jc w:val="left"/>
            </w:pPr>
            <w:r>
              <w:rPr>
                <w:rFonts w:ascii="Times New Roman" w:hAnsi="Times New Roman"/>
                <w:color w:val="000000"/>
                <w:sz w:val="16"/>
              </w:rPr>
              <w:t>Goteo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590,1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5.901</w:t>
            </w:r>
          </w:p>
        </w:tc>
      </w:tr>
      <w:tr>
        <w:trPr>
          <w:cantSplit/>
        </w:trPr>
        <w:tc>
          <w:tcPr>
            <w:tcW w:type="dxa" w:w="2257"/>
            <w:vAlign w:val="center"/>
            <w:tcMar>
              <w:top w:w="90" w:type="dxa"/>
              <w:start w:w="100" w:type="dxa"/>
              <w:bottom w:w="90" w:type="dxa"/>
              <w:end w:w="100" w:type="dxa"/>
            </w:tcMar>
          </w:tcPr>
          <w:p>
            <w:pPr>
              <w:jc w:val="left"/>
            </w:pPr>
            <w:r>
              <w:rPr>
                <w:rFonts w:ascii="Times New Roman" w:hAnsi="Times New Roman"/>
                <w:color w:val="000000"/>
                <w:sz w:val="16"/>
              </w:rPr>
              <w:t>Aspersión</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0,75</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708,1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7.081</w:t>
            </w:r>
          </w:p>
        </w:tc>
      </w:tr>
      <w:tr>
        <w:trPr>
          <w:cantSplit/>
        </w:trPr>
        <w:tc>
          <w:tcPr>
            <w:tcW w:type="dxa" w:w="2257"/>
            <w:vAlign w:val="center"/>
            <w:tcMar>
              <w:top w:w="90" w:type="dxa"/>
              <w:start w:w="100" w:type="dxa"/>
              <w:bottom w:w="90" w:type="dxa"/>
              <w:end w:w="100" w:type="dxa"/>
            </w:tcMar>
          </w:tcPr>
          <w:p>
            <w:pPr>
              <w:jc w:val="left"/>
            </w:pPr>
            <w:r>
              <w:rPr>
                <w:rFonts w:ascii="Times New Roman" w:hAnsi="Times New Roman"/>
                <w:color w:val="000000"/>
                <w:sz w:val="16"/>
              </w:rPr>
              <w:t>Superficie</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0,60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885,1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8.851</w:t>
            </w:r>
          </w:p>
        </w:tc>
      </w:tr>
    </w:tbl>
    <w:p>
      <w:pPr>
        <w:spacing w:after="40"/>
      </w:pPr>
    </w:p>
    <w:p>
      <w:pPr>
        <w:spacing w:after="120"/>
      </w:pPr>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pPr>
        <w:pStyle w:val="Heading3"/>
        <w:keepNext/>
      </w:pPr>
      <w:r>
        <w:rPr>
          <w:rFonts w:ascii="Times New Roman" w:hAnsi="Times New Roman"/>
          <w:color w:val="000000"/>
          <w:sz w:val="24"/>
        </w:rPr>
        <w:t>5.3.7. Escenarios de robustez y trazabilidad</w:t>
      </w:r>
    </w:p>
    <w:p>
      <w:pPr>
        <w:spacing w:after="120"/>
      </w:pPr>
      <w:r>
        <w:t xml:space="preserve">El último bloque de la validación sometió al sistema a situaciones en las que una recomendación incorrecta podría causar daños o confusión. Se definieron trece escenarios con un comportamiento esperado fijado de antemano; los resultados se guardan en </w:t>
      </w:r>
      <w:r>
        <w:rPr>
          <w:rFonts w:ascii="Consolas" w:hAnsi="Consolas"/>
          <w:sz w:val="19"/>
        </w:rPr>
        <w:t>docs/data_samples/dss_scenarios_5_3.csv</w:t>
      </w:r>
      <w:r>
        <w:t xml:space="preserve"> y se resumen en la Tabla 5.7.</w:t>
      </w:r>
    </w:p>
    <w:p>
      <w:pPr>
        <w:keepNext/>
        <w:spacing w:after="120"/>
      </w:pPr>
      <w:r>
        <w:rPr>
          <w:b/>
        </w:rPr>
        <w:t>Tabla 5.7. Escenarios de validación del comportamiento del sistema.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Escenario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Comportamiento esperado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Resultado observado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Lluvia observada superior a la ETc (23/05)</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Dosis nula, nunca negativa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Necesidad de 0,00 mm por la regla R4</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Lluvia prevista de 12 mm con probabilidad del 80 %</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sin descuento automático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recomienda aplazar y la dosis no cambia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Cinco fechas sin meteorología (18 a 22/07)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Sustitución explícita y aviso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usa la ET0 reciente, con aviso en cada día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Emisión el 21/07 con el último dato del 17/07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general y confianza baja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antigüedad y confianza baja en todo el horizonte</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ET0 prevista de 11,5 mm</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extrapolación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marca como extrapolación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Fechas posteriores al ciclo (1 y 2/10)</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Sin recomendación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No se emite dosis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Primer día de campaña sin histórico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Sin recomendación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No se emite dosis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Eficiencia 1,4, horizonte de 10 días, superficie negativa, sistema desconocido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Rechazo con mensaje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Las cuatro entradas se rechazan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Dotación de 20 mm frente a 47,1 mm planificados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Reducción proporcional y aviso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Factor de 0,42 y total de 20 mm</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Eficiencias de 0,60 a 1,00</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Dosis decreciente con la eficiencia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70,7, 56,6, 47,1 y 42,4 mm semanales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Coherencia entre día, semana y volumen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Sumas consistentes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Coinciden dosis y volumen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Trazabilidad de cada fila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Origen y reglas registrados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Método, reglas, archivo y fecha presentes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Cambio de Kc de 0,70 a 0,90 (01/07)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El calendario corrige la persistencia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Error de 0,35 mm frente a 1,19 mm</w:t>
            </w:r>
          </w:p>
        </w:tc>
      </w:tr>
    </w:tbl>
    <w:p>
      <w:pPr>
        <w:spacing w:after="40"/>
      </w:pPr>
    </w:p>
    <w:p>
      <w:pPr>
        <w:spacing w:after="120"/>
      </w:pPr>
      <w:r>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pPr>
        <w:spacing w:after="120"/>
      </w:pPr>
      <w:r>
        <w:t xml:space="preserve">Las comprobaciones de la Tabla 5.7 se complementan con quince pruebas automáticas en </w:t>
      </w:r>
      <w:r>
        <w:rPr>
          <w:rFonts w:ascii="Consolas" w:hAnsi="Consolas"/>
          <w:sz w:val="19"/>
        </w:rPr>
        <w:t>tests/test_dss_engine.py</w:t>
      </w:r>
      <w:r>
        <w:t>, que se suman a las cuarenta existentes para las fases anteriores. Entre otras cosas, verifican que la planificación no cambia si se alteran los datos posteriores a la fecha de emisión, que es la garantía formal de que el sistema no utiliza información futura.</w:t>
      </w:r>
    </w:p>
    <w:p>
      <w:pPr>
        <w:pStyle w:val="Heading3"/>
        <w:keepNext/>
      </w:pPr>
      <w:r>
        <w:rPr>
          <w:rFonts w:ascii="Times New Roman" w:hAnsi="Times New Roman"/>
          <w:color w:val="000000"/>
          <w:sz w:val="24"/>
        </w:rPr>
        <w:t>5.3.8. Rendimiento operativo</w:t>
      </w:r>
    </w:p>
    <w:p>
      <w:pPr>
        <w:spacing w:after="120"/>
      </w:pPr>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pPr>
        <w:pStyle w:val="Heading3"/>
        <w:keepNext/>
      </w:pPr>
      <w:r>
        <w:rPr>
          <w:rFonts w:ascii="Times New Roman" w:hAnsi="Times New Roman"/>
          <w:color w:val="000000"/>
          <w:sz w:val="24"/>
        </w:rPr>
        <w:t>5.3.9. Análisis crítico</w:t>
      </w:r>
    </w:p>
    <w:p>
      <w:pPr>
        <w:spacing w:after="120"/>
      </w:pPr>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pPr>
        <w:spacing w:after="120"/>
      </w:pPr>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pPr>
        <w:spacing w:after="120"/>
      </w:pPr>
      <w:r>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pPr>
        <w:spacing w:after="120"/>
      </w:pPr>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pPr>
        <w:pStyle w:val="Heading3"/>
        <w:keepNext/>
      </w:pPr>
      <w:r>
        <w:rPr>
          <w:rFonts w:ascii="Times New Roman" w:hAnsi="Times New Roman"/>
          <w:color w:val="000000"/>
          <w:sz w:val="24"/>
        </w:rPr>
        <w:t>5.3.10. Reproducibilidad y evidencias</w:t>
      </w:r>
    </w:p>
    <w:p>
      <w:pPr>
        <w:spacing w:after="120"/>
      </w:pPr>
      <w:r>
        <w:t>Las cifras, tablas y figuras de este capítulo se regeneran con:</w:t>
      </w:r>
    </w:p>
    <w:p>
      <w:pPr>
        <w:spacing w:before="80" w:after="140"/>
        <w:ind w:left="360" w:right="216"/>
        <w:jc w:val="left"/>
        <w:shd w:fill="F2F2F2"/>
      </w:pPr>
      <w:r>
        <w:rPr>
          <w:rFonts w:ascii="Consolas" w:hAnsi="Consolas"/>
          <w:sz w:val="17"/>
        </w:rPr>
        <w:t>python -m src.analysis.build_validation_5_3</w:t>
      </w:r>
    </w:p>
    <w:p>
      <w:pPr>
        <w:spacing w:before="80" w:after="140"/>
        <w:ind w:left="360" w:right="216"/>
        <w:jc w:val="left"/>
        <w:shd w:fill="F2F2F2"/>
      </w:pPr>
      <w:r>
        <w:rPr>
          <w:rFonts w:ascii="Consolas" w:hAnsi="Consolas"/>
          <w:sz w:val="17"/>
        </w:rPr>
        <w:t>python -m src.visualization.build_dss_visual</w:t>
      </w:r>
    </w:p>
    <w:p>
      <w:pPr>
        <w:spacing w:before="80" w:after="140"/>
        <w:ind w:left="360" w:right="216"/>
        <w:jc w:val="left"/>
        <w:shd w:fill="F2F2F2"/>
      </w:pPr>
      <w:r>
        <w:rPr>
          <w:rFonts w:ascii="Consolas" w:hAnsi="Consolas"/>
          <w:sz w:val="17"/>
        </w:rPr>
        <w:t>python -m unittest discover -s tests</w:t>
      </w:r>
    </w:p>
    <w:p>
      <w:pPr>
        <w:spacing w:after="120"/>
      </w:pPr>
      <w:r>
        <w:t>El primer comando produce el informe completo (</w:t>
      </w:r>
      <w:r>
        <w:rPr>
          <w:rFonts w:ascii="Consolas" w:hAnsi="Consolas"/>
          <w:sz w:val="19"/>
        </w:rPr>
        <w:t>docs/data_samples/dss_validation_5_3.json</w:t>
      </w:r>
      <w:r>
        <w:t>), los errores por horizonte (</w:t>
      </w:r>
      <w:r>
        <w:rPr>
          <w:rFonts w:ascii="Consolas" w:hAnsi="Consolas"/>
          <w:sz w:val="19"/>
        </w:rPr>
        <w:t>dss_horizon_errors_5_3.csv</w:t>
      </w:r>
      <w:r>
        <w:t>), los escenarios (</w:t>
      </w:r>
      <w:r>
        <w:rPr>
          <w:rFonts w:ascii="Consolas" w:hAnsi="Consolas"/>
          <w:sz w:val="19"/>
        </w:rPr>
        <w:t>dss_scenarios_5_3.csv</w:t>
      </w:r>
      <w:r>
        <w:t xml:space="preserve">), el ejemplo del apartado 5.2 y las Figuras 5.3, 5.4 y 5.5. El segundo genera la Figura 5.1 y el tercero ejecuta las cincuenta y cinco pruebas automáticas del proyecto. La captura de la Figura 5.2 se obtiene arrancando la aplicación con </w:t>
      </w:r>
      <w:r>
        <w:rPr>
          <w:rFonts w:ascii="Consolas" w:hAnsi="Consolas"/>
          <w:sz w:val="19"/>
        </w:rPr>
        <w:t>streamlit run src/dss/app_streamlit.py</w:t>
      </w:r>
      <w:r>
        <w:t xml:space="preserve"> y abriendo la dirección local con los parámetros </w:t>
      </w:r>
      <w:r>
        <w:rPr>
          <w:rFonts w:ascii="Consolas" w:hAnsi="Consolas"/>
          <w:sz w:val="19"/>
        </w:rPr>
        <w:t>?fecha=2025-06-28&amp;referencia=1</w:t>
      </w:r>
      <w:r>
        <w:t>.</w:t>
      </w:r>
    </w:p>
    <w:p>
      <w:pPr>
        <w:pStyle w:val="Heading1"/>
      </w:pPr>
      <w:r>
        <w:t>6. Conclusiones</w:t>
      </w:r>
    </w:p>
    <w:p>
      <w:pPr>
        <w:pStyle w:val="Heading2"/>
      </w:pPr>
      <w:r>
        <w:t>6.1. Cumplimiento de objetivos y aportaciones</w:t>
      </w:r>
    </w:p>
    <w:p>
      <w:pPr>
        <w:pStyle w:val="Heading2"/>
      </w:pPr>
      <w:r>
        <w:t>6.2. Limitaciones e impacto del proyecto</w:t>
      </w:r>
    </w:p>
    <w:p>
      <w:pPr>
        <w:pStyle w:val="Heading2"/>
      </w:pPr>
      <w:r>
        <w:t>6.3. Mejoras y líneas futuras</w:t>
      </w:r>
    </w:p>
    <w:p>
      <w:r>
        <w:br w:type="page"/>
      </w:r>
    </w:p>
    <w:p>
      <w:pPr>
        <w:pStyle w:val="Heading1"/>
      </w:pPr>
      <w:r>
        <w:t>Referencias bibliográficas</w:t>
      </w:r>
    </w:p>
    <w:p>
      <w:pPr>
        <w:pStyle w:val="BibliografíaAPA"/>
      </w:pPr>
      <w:r>
        <w:rPr>
          <w:i w:val="0"/>
        </w:rPr>
        <w:t xml:space="preserve">Agencia Estatal de Meteorología. (s. f.). </w:t>
      </w:r>
      <w:r>
        <w:rPr>
          <w:i/>
        </w:rPr>
        <w:t>AEMET OpenData</w:t>
      </w:r>
      <w:r>
        <w:rPr>
          <w:i w:val="0"/>
        </w:rPr>
        <w:t>. Recuperado el 16 de septiembre de 2026, de https://opendata.aemet.es/centrodedescargas/inicio</w:t>
      </w:r>
    </w:p>
    <w:p>
      <w:pPr>
        <w:pStyle w:val="BibliografíaAPA"/>
      </w:pPr>
      <w:r>
        <w:rPr>
          <w:i w:val="0"/>
        </w:rPr>
        <w:t xml:space="preserve">Allen, R. G., Pereira, L. S., Raes, D., &amp; Smith, M. (1998). </w:t>
      </w:r>
      <w:r>
        <w:rPr>
          <w:i/>
        </w:rPr>
        <w:t>Crop evapotranspiration: Guidelines for computing crop water requirements</w:t>
      </w:r>
      <w:r>
        <w:rPr>
          <w:i w:val="0"/>
        </w:rPr>
        <w:t xml:space="preserve"> (FAO Irrigation and Drainage Paper No. 56). Food and Agriculture Organization of the United Nations. https://www.fao.org/4/x0490e/x0490e00.htm</w:t>
      </w:r>
    </w:p>
    <w:p>
      <w:pPr>
        <w:pStyle w:val="BibliografíaAPA"/>
      </w:pPr>
      <w:r>
        <w:rPr>
          <w:i w:val="0"/>
        </w:rPr>
        <w:t xml:space="preserve">Benos, L., Tagarakis, A. C., Dolias, G., Berruto, R., Kateris, D., &amp; Bochtis, D. (2021). Machine learning in agriculture: A comprehensive updated review. </w:t>
      </w:r>
      <w:r>
        <w:rPr>
          <w:i/>
        </w:rPr>
        <w:t>Sensors, 21</w:t>
      </w:r>
      <w:r>
        <w:rPr>
          <w:i w:val="0"/>
        </w:rPr>
        <w:t>(11), 3758. https://doi.org/10.3390/s21113758</w:t>
      </w:r>
    </w:p>
    <w:p>
      <w:pPr>
        <w:pStyle w:val="BibliografíaAPA"/>
      </w:pPr>
      <w:r>
        <w:rPr>
          <w:i w:val="0"/>
        </w:rPr>
        <w:t xml:space="preserve">Brouwer, C., Prins, K., &amp; Heibloem, M. (1989). </w:t>
      </w:r>
      <w:r>
        <w:rPr>
          <w:i/>
        </w:rPr>
        <w:t>Irrigation water management: Irrigation scheduling</w:t>
      </w:r>
      <w:r>
        <w:rPr>
          <w:i w:val="0"/>
        </w:rPr>
        <w:t xml:space="preserve"> (Training manual No. 4). Food and Agriculture Organization of the United Nations. https://www.fao.org/4/t7202e/t7202e00.htm</w:t>
      </w:r>
    </w:p>
    <w:p>
      <w:pPr>
        <w:pStyle w:val="BibliografíaAPA"/>
      </w:pPr>
      <w:r>
        <w:rPr>
          <w:i w:val="0"/>
        </w:rPr>
        <w:t xml:space="preserve">Burt, C. M., Clemmens, A. J., Strelkoff, T. S., Solomon, K. H., Bliesner, R. D., Hardy, L. A., Howell, T. A., &amp; Eisenhauer, D. E. (1997). Irrigation performance measures: Efficiency and uniformity. </w:t>
      </w:r>
      <w:r>
        <w:rPr>
          <w:i/>
        </w:rPr>
        <w:t>Journal of Irrigation and Drainage Engineering, 123</w:t>
      </w:r>
      <w:r>
        <w:rPr>
          <w:i w:val="0"/>
        </w:rPr>
        <w:t>(6), 423–442. https://doi.org/10.1061/(ASCE)0733-9437(1997)123:6(423)</w:t>
      </w:r>
    </w:p>
    <w:p>
      <w:pPr>
        <w:pStyle w:val="BibliografíaAPA"/>
      </w:pPr>
      <w:r>
        <w:rPr>
          <w:i w:val="0"/>
        </w:rPr>
        <w:t xml:space="preserve">European Environment Agency. (2021). </w:t>
      </w:r>
      <w:r>
        <w:rPr>
          <w:i/>
        </w:rPr>
        <w:t>Water resources across Europe—Confronting water stress: An updated assessment</w:t>
      </w:r>
      <w:r>
        <w:rPr>
          <w:i w:val="0"/>
        </w:rPr>
        <w:t xml:space="preserve"> (EEA Report No. 12/2021). https://www.eea.europa.eu/publications/water-resources-across-europe-confronting-water-stress</w:t>
      </w:r>
    </w:p>
    <w:p>
      <w:pPr>
        <w:pStyle w:val="BibliografíaAPA"/>
      </w:pPr>
      <w:r>
        <w:rPr>
          <w:i w:val="0"/>
        </w:rPr>
        <w:t xml:space="preserve">Fereres, E., &amp; Soriano, M. A. (2007). Deficit irrigation for reducing agricultural water use. </w:t>
      </w:r>
      <w:r>
        <w:rPr>
          <w:i/>
        </w:rPr>
        <w:t>Journal of Experimental Botany, 58</w:t>
      </w:r>
      <w:r>
        <w:rPr>
          <w:i w:val="0"/>
        </w:rPr>
        <w:t>(2), 147–159. https://doi.org/10.1093/jxb/erl165</w:t>
      </w:r>
    </w:p>
    <w:p>
      <w:pPr>
        <w:pStyle w:val="BibliografíaAPA"/>
      </w:pPr>
      <w:r>
        <w:rPr>
          <w:i w:val="0"/>
        </w:rPr>
        <w:t xml:space="preserve">Food and Agriculture Organization of the United Nations. (2021). </w:t>
      </w:r>
      <w:r>
        <w:rPr>
          <w:i/>
        </w:rPr>
        <w:t>The state of the world's land and water resources for food and agriculture—Systems at breaking point</w:t>
      </w:r>
      <w:r>
        <w:rPr>
          <w:i w:val="0"/>
        </w:rPr>
        <w:t>. https://doi.org/10.4060/cb7654en</w:t>
      </w:r>
    </w:p>
    <w:p>
      <w:pPr>
        <w:pStyle w:val="BibliografíaAPA"/>
      </w:pPr>
      <w:r>
        <w:rPr>
          <w:i w:val="0"/>
        </w:rP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rPr>
          <w:i w:val="0"/>
        </w:rPr>
        <w:t>, 40–50. https://doi.org/10.1016/j.compag.2015.05.011</w:t>
      </w:r>
    </w:p>
    <w:p>
      <w:pPr>
        <w:pStyle w:val="BibliografíaAPA"/>
      </w:pPr>
      <w:r>
        <w:rPr>
          <w:i w:val="0"/>
        </w:rPr>
        <w:t xml:space="preserve">Gebbers, R., &amp; Adamchuk, V. I. (2010). Precision agriculture and food security. </w:t>
      </w:r>
      <w:r>
        <w:rPr>
          <w:i/>
        </w:rPr>
        <w:t>Science, 327</w:t>
      </w:r>
      <w:r>
        <w:rPr>
          <w:i w:val="0"/>
        </w:rPr>
        <w:t>(5967), 828–831. https://doi.org/10.1126/science.1183899</w:t>
      </w:r>
    </w:p>
    <w:p>
      <w:pPr>
        <w:pStyle w:val="BibliografíaAPA"/>
      </w:pPr>
      <w:r>
        <w:rPr>
          <w:i w:val="0"/>
        </w:rPr>
        <w:t xml:space="preserve">Howell, T. A. (2001). Enhancing water use efficiency in irrigated agriculture. </w:t>
      </w:r>
      <w:r>
        <w:rPr>
          <w:i/>
        </w:rPr>
        <w:t>Agronomy Journal, 93</w:t>
      </w:r>
      <w:r>
        <w:rPr>
          <w:i w:val="0"/>
        </w:rPr>
        <w:t>(2), 281–289. https://doi.org/10.2134/agronj2001.932281x</w:t>
      </w:r>
    </w:p>
    <w:p>
      <w:pPr>
        <w:pStyle w:val="BibliografíaAPA"/>
      </w:pPr>
      <w:r>
        <w:rPr>
          <w:i w:val="0"/>
        </w:rPr>
        <w:t xml:space="preserve">Hyndman, R. J., &amp; Athanasopoulos, G. (2021). </w:t>
      </w:r>
      <w:r>
        <w:rPr>
          <w:i/>
        </w:rPr>
        <w:t>Forecasting: Principles and practice</w:t>
      </w:r>
      <w:r>
        <w:rPr>
          <w:i w:val="0"/>
        </w:rPr>
        <w:t xml:space="preserve"> (3.ª ed.). OTexts. https://otexts.com/fpp3/</w:t>
      </w:r>
    </w:p>
    <w:p>
      <w:pPr>
        <w:pStyle w:val="BibliografíaAPA"/>
      </w:pPr>
      <w:r>
        <w:rPr>
          <w:i w:val="0"/>
        </w:rPr>
        <w:t xml:space="preserve">Intergovernmental Panel on Climate Change. (2022). </w:t>
      </w:r>
      <w:r>
        <w:rPr>
          <w:i/>
        </w:rPr>
        <w:t>Climate change 2022: Impacts, adaptation and vulnerability</w:t>
      </w:r>
      <w:r>
        <w:rPr>
          <w:i w:val="0"/>
        </w:rPr>
        <w:t xml:space="preserve"> (H.-O. Pörtner, D. C. Roberts, M. Tignor, E. S. Poloczanska, K. Mintenbeck, A. Alegría, M. Craig, S. Langsdorf, S. Löschke, V. Möller, A. Okem, &amp; B. Rama, Eds.). Cambridge University Press. https://doi.org/10.1017/9781009325844</w:t>
      </w:r>
    </w:p>
    <w:p>
      <w:pPr>
        <w:pStyle w:val="BibliografíaAPA"/>
      </w:pPr>
      <w:r>
        <w:rPr>
          <w:i w:val="0"/>
        </w:rPr>
        <w:t xml:space="preserve">Liakos, K. G., Busato, P., Moshou, D., Pearson, S., &amp; Bochtis, D. (2018). Machine learning in agriculture: A review. </w:t>
      </w:r>
      <w:r>
        <w:rPr>
          <w:i/>
        </w:rPr>
        <w:t>Sensors, 18</w:t>
      </w:r>
      <w:r>
        <w:rPr>
          <w:i w:val="0"/>
        </w:rPr>
        <w:t>(8), 2674. https://doi.org/10.3390/s18082674</w:t>
      </w:r>
    </w:p>
    <w:p>
      <w:pPr>
        <w:pStyle w:val="BibliografíaAPA"/>
      </w:pPr>
      <w:r>
        <w:rPr>
          <w:i w:val="0"/>
        </w:rPr>
        <w:t xml:space="preserve">Lindblom, J., Lundström, C., Ljung, M., &amp; Jonsson, A. (2017). Promoting sustainable intensification in precision agriculture: Review of decision support systems development and strategies. </w:t>
      </w:r>
      <w:r>
        <w:rPr>
          <w:i/>
        </w:rPr>
        <w:t>Precision Agriculture, 18</w:t>
      </w:r>
      <w:r>
        <w:rPr>
          <w:i w:val="0"/>
        </w:rPr>
        <w:t>(3), 309–331. https://doi.org/10.1007/s11119-016-9491-4</w:t>
      </w:r>
    </w:p>
    <w:p>
      <w:pPr>
        <w:pStyle w:val="BibliografíaAPA"/>
      </w:pPr>
      <w:r>
        <w:rPr>
          <w:i w:val="0"/>
        </w:rPr>
        <w:t xml:space="preserve">Lundberg, S. M., &amp; Lee, S.-I. (2017). A unified approach to interpreting model predictions. </w:t>
      </w:r>
      <w:r>
        <w:rPr>
          <w:i/>
        </w:rPr>
        <w:t>Advances in Neural Information Processing Systems, 30</w:t>
      </w:r>
      <w:r>
        <w:rPr>
          <w:i w:val="0"/>
        </w:rPr>
        <w:t>, 4765–4774. https://proceedings.neurips.cc/paper_files/paper/2017/hash/8a20a8621978632d76c43dfd28b67767-Abstract.html</w:t>
      </w:r>
    </w:p>
    <w:p>
      <w:pPr>
        <w:pStyle w:val="BibliografíaAPA"/>
      </w:pPr>
      <w:r>
        <w:rPr>
          <w:i w:val="0"/>
        </w:rPr>
        <w:t xml:space="preserve">McCown, R. L. (2002). Locating agricultural decision support systems in the troubled past and socio-technical complexity of ‘models for management’. </w:t>
      </w:r>
      <w:r>
        <w:rPr>
          <w:i/>
        </w:rPr>
        <w:t>Agricultural Systems, 74</w:t>
      </w:r>
      <w:r>
        <w:rPr>
          <w:i w:val="0"/>
        </w:rPr>
        <w:t>(1), 11–25. https://doi.org/10.1016/S0308-521X(02)00020-3</w:t>
      </w:r>
    </w:p>
    <w:p>
      <w:pPr>
        <w:pStyle w:val="BibliografíaAPA"/>
      </w:pPr>
      <w:r>
        <w:rPr>
          <w:i w:val="0"/>
        </w:rPr>
        <w:t xml:space="preserve">Ministerio de Agricultura, Pesca y Alimentación. (s. f.). </w:t>
      </w:r>
      <w:r>
        <w:rPr>
          <w:i/>
        </w:rPr>
        <w:t>Sistema de Información Agroclimática para el Regadío (SiAR)</w:t>
      </w:r>
      <w:r>
        <w:rPr>
          <w:i w:val="0"/>
        </w:rPr>
        <w:t>. Recuperado el 16 de septiembre de 2026, de https://servicio.mapa.gob.es/siarweb/</w:t>
      </w:r>
    </w:p>
    <w:p>
      <w:pPr>
        <w:pStyle w:val="BibliografíaAPA"/>
      </w:pPr>
      <w:r>
        <w:rPr>
          <w:i w:val="0"/>
        </w:rPr>
        <w:t xml:space="preserve">Ministerio para la Transición Ecológica y el Reto Demográfico. (s. f.). </w:t>
      </w:r>
      <w:r>
        <w:rPr>
          <w:i/>
        </w:rPr>
        <w:t>El Boletín Hidrológico semanal</w:t>
      </w:r>
      <w:r>
        <w:rPr>
          <w:i w:val="0"/>
        </w:rPr>
        <w:t>. Recuperado el 16 de septiembre de 2026, de https://www.miteco.gob.es/es/agua/temas/evaluacion-de-los-recursos-hidricos/boletin-hidrologico.html</w:t>
      </w:r>
    </w:p>
    <w:p>
      <w:pPr>
        <w:pStyle w:val="BibliografíaAPA"/>
      </w:pPr>
      <w:r>
        <w:rPr>
          <w:i w:val="0"/>
        </w:rPr>
        <w:t xml:space="preserve">Navarro-Hellín, H., Martínez-del-Rincón, J., Domingo-Miguel, R., Soto-Valles, F., &amp; Torres-Sánchez, R. (2016). A decision support system for managing irrigation in agriculture. </w:t>
      </w:r>
      <w:r>
        <w:rPr>
          <w:i/>
        </w:rPr>
        <w:t>Computers and Electronics in Agriculture, 124</w:t>
      </w:r>
      <w:r>
        <w:rPr>
          <w:i w:val="0"/>
        </w:rPr>
        <w:t>, 121–131. https://doi.org/10.1016/j.compag.2016.04.003</w:t>
      </w:r>
    </w:p>
    <w:p>
      <w:pPr>
        <w:pStyle w:val="BibliografíaAPA"/>
      </w:pPr>
      <w:r>
        <w:rPr>
          <w:i w:val="0"/>
        </w:rPr>
        <w:t xml:space="preserve">Perry, C. (2007). Efficient irrigation; inefficient communication; flawed recommendations. </w:t>
      </w:r>
      <w:r>
        <w:rPr>
          <w:i/>
        </w:rPr>
        <w:t>Irrigation and Drainage, 56</w:t>
      </w:r>
      <w:r>
        <w:rPr>
          <w:i w:val="0"/>
        </w:rPr>
        <w:t>(4), 367–378. https://doi.org/10.1002/ird.323</w:t>
      </w:r>
    </w:p>
    <w:p>
      <w:pPr>
        <w:pStyle w:val="BibliografíaAPA"/>
      </w:pPr>
      <w:r>
        <w:rPr>
          <w:i w:val="0"/>
        </w:rPr>
        <w:t xml:space="preserve">Real Decreto 854/2022, de 11 de octubre, por el que se crean la Mesa Nacional del Regadío y el Observatorio de la Sostenibilidad del Regadío. </w:t>
      </w:r>
      <w:r>
        <w:rPr>
          <w:i/>
        </w:rPr>
        <w:t>Boletín Oficial del Estado</w:t>
      </w:r>
      <w:r>
        <w:rPr>
          <w:i w:val="0"/>
        </w:rPr>
        <w:t>, 245, de 12 de octubre de 2022, 139046–139055. https://www.boe.es/eli/es/rd/2022/10/11/854</w:t>
      </w:r>
    </w:p>
    <w:p>
      <w:pPr>
        <w:pStyle w:val="BibliografíaAPA"/>
      </w:pPr>
      <w:r>
        <w:rPr>
          <w:i w:val="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rPr>
          <w:i w:val="0"/>
        </w:rPr>
        <w:t>(8), 913–929. https://doi.org/10.1111/ecog.02881</w:t>
      </w:r>
    </w:p>
    <w:p>
      <w:pPr>
        <w:pStyle w:val="BibliografíaAPA"/>
      </w:pPr>
      <w:r>
        <w:rPr>
          <w:i w:val="0"/>
        </w:rPr>
        <w:t xml:space="preserve">Rose, D. C., Sutherland, W. J., Parker, C., Lobley, M., Winter, M., Morris, C., Twining, S., Ffoulkes, C., Amano, T., &amp; Dicks, L. V. (2016). Decision support tools for agriculture: Towards effective design and delivery. </w:t>
      </w:r>
      <w:r>
        <w:rPr>
          <w:i/>
        </w:rPr>
        <w:t>Agricultural Systems, 149</w:t>
      </w:r>
      <w:r>
        <w:rPr>
          <w:i w:val="0"/>
        </w:rPr>
        <w:t>, 165–174. https://doi.org/10.1016/j.agsy.2016.09.009</w:t>
      </w:r>
    </w:p>
    <w:p>
      <w:pPr>
        <w:pStyle w:val="BibliografíaAPA"/>
      </w:pPr>
      <w:r>
        <w:rPr>
          <w:i w:val="0"/>
        </w:rPr>
        <w:t xml:space="preserve">Shim, J. P., Warkentin, M., Courtney, J. F., Power, D. J., Sharda, R., &amp; Carlsson, C. (2002). Past, present, and future of decision support technology. </w:t>
      </w:r>
      <w:r>
        <w:rPr>
          <w:i/>
        </w:rPr>
        <w:t>Decision Support Systems, 33</w:t>
      </w:r>
      <w:r>
        <w:rPr>
          <w:i w:val="0"/>
        </w:rPr>
        <w:t>(2), 111–126. https://doi.org/10.1016/S0167-9236(01)00139-7</w:t>
      </w:r>
    </w:p>
    <w:p>
      <w:pPr>
        <w:pStyle w:val="BibliografíaAPA"/>
      </w:pPr>
      <w:r>
        <w:rPr>
          <w:i w:val="0"/>
        </w:rPr>
        <w:t xml:space="preserve">Streamlit. (2024). </w:t>
      </w:r>
      <w:r>
        <w:rPr>
          <w:i/>
        </w:rPr>
        <w:t>Streamlit</w:t>
      </w:r>
      <w:r>
        <w:rPr>
          <w:i w:val="0"/>
        </w:rPr>
        <w:t xml:space="preserve"> (Versión 1.39.0) [Software]. https://streamlit.io</w:t>
      </w:r>
    </w:p>
    <w:p>
      <w:pPr>
        <w:pStyle w:val="BibliografíaAPA"/>
      </w:pPr>
      <w:r>
        <w:rPr>
          <w:i w:val="0"/>
        </w:rPr>
        <w:t xml:space="preserve">Willmott, C. J., &amp; Matsuura, K. (2005). Advantages of the mean absolute error (MAE) over the root mean square error (RMSE) in assessing average model performance. </w:t>
      </w:r>
      <w:r>
        <w:rPr>
          <w:i/>
        </w:rPr>
        <w:t>Climate Research, 30</w:t>
      </w:r>
      <w:r>
        <w:rPr>
          <w:i w:val="0"/>
        </w:rPr>
        <w:t>(1), 79–82. https://doi.org/10.3354/cr030079</w:t>
      </w:r>
    </w:p>
    <w:p>
      <w:pPr>
        <w:pStyle w:val="BibliografíaAPA"/>
      </w:pPr>
      <w:r>
        <w:rPr>
          <w:i w:val="0"/>
        </w:rPr>
        <w:t xml:space="preserve">Wolfert, S., Ge, L., Verdouw, C., &amp; Bogaardt, M.-J. (2017). Big Data in smart farming—A review. </w:t>
      </w:r>
      <w:r>
        <w:rPr>
          <w:i/>
        </w:rPr>
        <w:t>Agricultural Systems, 153</w:t>
      </w:r>
      <w:r>
        <w:rPr>
          <w:i w:val="0"/>
        </w:rPr>
        <w:t>, 69–80. https://doi.org/10.1016/j.agsy.2017.01.023</w:t>
      </w:r>
    </w:p>
    <w:p>
      <w:pPr>
        <w:pStyle w:val="BibliografíaAPA"/>
      </w:pPr>
      <w:r>
        <w:rPr>
          <w:i w:val="0"/>
        </w:rPr>
        <w:t xml:space="preserve">Zhai, Z., Martínez, J. F., Beltran, V., &amp; Martínez, N. L. (2020). Decision support systems for agriculture 4.0: Survey and challenges. </w:t>
      </w:r>
      <w:r>
        <w:rPr>
          <w:i/>
        </w:rPr>
        <w:t>Computers and Electronics in Agriculture, 170</w:t>
      </w:r>
      <w:r>
        <w:rPr>
          <w:i w:val="0"/>
        </w:rPr>
        <w:t>, 105256. https://doi.org/10.1016/j.compag.2020.105256</w:t>
      </w:r>
    </w:p>
    <w:p>
      <w:pPr>
        <w:pStyle w:val="BibliografíaAPA"/>
      </w:pPr>
      <w:r>
        <w:rPr>
          <w:i w:val="0"/>
        </w:rPr>
        <w:t xml:space="preserve">Zhang, N., Wang, M., &amp; Wang, N. (2002). Precision agriculture—A worldwide overview. </w:t>
      </w:r>
      <w:r>
        <w:rPr>
          <w:i/>
        </w:rPr>
        <w:t>Computers and Electronics in Agriculture, 36</w:t>
      </w:r>
      <w:r>
        <w:rPr>
          <w:i w:val="0"/>
        </w:rPr>
        <w:t>(2–3), 113–132. https://doi.org/10.1016/S0168-1699(02)00096-0</w:t>
      </w:r>
    </w:p>
    <w:sectPr>
      <w:footerReference w:type="default" ns1:id="rId6"/>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eastAsia="Times New Roman"/>
      <w:color w:val="000000"/>
      <w:sz w:val="24"/>
    </w:rPr>
  </w:style>
  <w:style w:type="paragraph" w:styleId="Heading1">
    <w:name w:val="heading 1"/>
    <w:basedOn w:val="Normal"/>
    <w:next w:val="Normal"/>
    <w:pPr>
      <w:keepNext/>
      <w:keepLines w:val="1"/>
      <w:pageBreakBefore w:val="0"/>
      <w:spacing w:after="160" w:before="360" w:lineRule="auto"/>
    </w:pPr>
    <w:rPr>
      <w:rFonts w:ascii="Times New Roman" w:hAnsi="Times New Roman" w:eastAsia="Times New Roman"/>
      <w:b/>
      <w:color w:val="000000"/>
      <w:sz w:val="28"/>
      <w:szCs w:val="40"/>
    </w:rPr>
  </w:style>
  <w:style w:type="paragraph" w:styleId="Heading2">
    <w:name w:val="heading 2"/>
    <w:basedOn w:val="Normal"/>
    <w:next w:val="Normal"/>
    <w:pPr>
      <w:keepNext/>
      <w:keepLines w:val="1"/>
      <w:pageBreakBefore w:val="0"/>
      <w:spacing w:after="120" w:before="240" w:lineRule="auto"/>
    </w:pPr>
    <w:rPr>
      <w:rFonts w:ascii="Times New Roman" w:hAnsi="Times New Roman" w:eastAsia="Times New Roman"/>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0" w:lineRule="auto"/>
      <w:jc w:val="center"/>
    </w:pPr>
    <w:rPr>
      <w:rFonts w:ascii="Times New Roman" w:hAnsi="Times New Roman" w:eastAsia="Times New Roman"/>
      <w:b/>
      <w:color w:val="000000"/>
      <w:sz w:val="3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BibliografíaAPA">
    <w:name w:val="Bibliografía APA"/>
    <w:pPr>
      <w:spacing w:line="360" w:lineRule="auto" w:after="120"/>
      <w:ind w:left="720" w:hanging="720"/>
      <w:jc w:val="left"/>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Sistema inteligente de apoyo a la decisión para la gestión hídrica agrícola</dc:title>
  <cp:lastModifiedBy>python-docx</cp:lastModifiedBy>
  <cp:revision>1</cp:revision>
  <dcterms:modified xsi:type="dcterms:W3CDTF">2026-09-16T07:08:41Z</dcterms:modified>
  <dc:subject>TFM de Data Science - apartado 1.1</dc:subject>
  <cp:keywords>regadío, aprendizaje automático, sistema de apoyo a la decisión, gestión hídrica</cp:keywords>
</cp:coreProperties>
</file>