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Sistema inteligente de apoyo a la decisión para la gestión hídrica agrícola</w:t>
      </w:r>
    </w:p>
    <w:p>
      <w:pPr>
        <w:spacing w:after="360"/>
        <w:jc w:val="center"/>
      </w:pPr>
      <w:r>
        <w:rPr>
          <w:i/>
        </w:rPr>
        <w:t>Trabajo Fin de Máster en Data Science</w:t>
      </w:r>
    </w:p>
    <w:p>
      <w:pPr>
        <w:pStyle w:val="Heading1"/>
      </w:pPr>
      <w:r>
        <w:t>1. Introducción y objetivos</w:t>
      </w:r>
    </w:p>
    <w:p>
      <w:pPr>
        <w:pStyle w:val="Heading2"/>
      </w:pPr>
      <w:r>
        <w:t>1.1. Contexto, motivación y justificación</w:t>
      </w:r>
    </w:p>
    <w:p>
      <w:pPr>
        <w:widowControl/>
        <w:ind w:firstLine="709"/>
      </w:pPr>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pPr>
        <w:widowControl/>
        <w:ind w:firstLine="709"/>
      </w:pPr>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pPr>
        <w:widowControl/>
        <w:ind w:firstLine="709"/>
      </w:pPr>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pPr>
        <w:widowControl/>
        <w:ind w:firstLine="709"/>
      </w:pPr>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pPr>
        <w:widowControl/>
        <w:ind w:firstLine="709"/>
      </w:pPr>
      <w:r>
        <w:t>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pPr>
        <w:widowControl/>
        <w:ind w:firstLine="709"/>
      </w:pPr>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pPr>
        <w:widowControl/>
        <w:ind w:firstLine="709"/>
      </w:pPr>
      <w:r>
        <w:t>A partir de este contexto, el presente Trabajo Fin de Máster plantea el desarrollo de un sistema inteligente de apoyo a la decisión para la gestión hídrica agrícola. La propuesta busca integrar en un flujo reproducible variables meteorológicas y ambientales, información relativa al tipo de cultivo y su localización, antecedentes de necesidades de riego e indicadores sobre la disponibilidad de recursos hídricos. La finalidad es estimar la demanda de riego en horizontes operativos y presentar el resultado mediante una interfaz que facilite la interpretación por agricultores, cooperativas y responsables de explotaciones.</w:t>
      </w:r>
    </w:p>
    <w:p>
      <w:pPr>
        <w:widowControl/>
        <w:ind w:firstLine="709"/>
      </w:pPr>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pPr>
        <w:widowControl/>
        <w:ind w:firstLine="709"/>
      </w:pPr>
      <w:r>
        <w:t>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alcance realista y verificable para un Trabajo Fin de Máster (Real Decreto 854/2022, 2022).</w:t>
      </w:r>
    </w:p>
    <w:p>
      <w:pPr>
        <w:pStyle w:val="Heading2"/>
      </w:pPr>
      <w:r>
        <w:t>1.2. Objetivos generales y específicos</w:t>
      </w:r>
    </w:p>
    <w:p>
      <w:pPr>
        <w:keepLines w:val="0"/>
        <w:widowControl/>
        <w:ind w:firstLine="709"/>
        <w:jc w:val="both"/>
      </w:pPr>
      <w:r>
        <w:rPr>
          <w:b/>
        </w:rPr>
        <w:t xml:space="preserve">Objetivo general. </w:t>
      </w:r>
      <w:r>
        <w:t>El objetivo general del presente Trabajo Fin de Máster es diseñar, implementar y evaluar un sistema inteligente de apoyo a la decisión para la gestión hídrica agrícola que integre datos meteorológicos, ambientales, agronómicos e hidrológicos, estime las necesidades de riego de los cultivos y las transforme en recomendaciones operativas, trazables y comprensibles para las localizaciones incluidas en el alcance del estudio.</w:t>
      </w:r>
    </w:p>
    <w:p>
      <w:pPr>
        <w:keepLines w:val="0"/>
        <w:widowControl/>
        <w:ind w:firstLine="709"/>
        <w:jc w:val="both"/>
      </w:pPr>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pPr>
        <w:keepLines w:val="0"/>
        <w:widowControl/>
        <w:ind w:firstLine="709"/>
        <w:jc w:val="both"/>
      </w:pPr>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pPr>
        <w:keepLines w:val="0"/>
        <w:widowControl/>
        <w:ind w:firstLine="709"/>
        <w:jc w:val="both"/>
      </w:pPr>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pPr>
        <w:keepLines w:val="0"/>
        <w:widowControl/>
        <w:ind w:firstLine="709"/>
        <w:jc w:val="both"/>
      </w:pPr>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pPr>
        <w:keepLines w:val="0"/>
        <w:widowControl/>
        <w:ind w:firstLine="709"/>
        <w:jc w:val="both"/>
      </w:pPr>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pPr>
        <w:keepLines w:val="0"/>
        <w:widowControl/>
        <w:ind w:firstLine="709"/>
        <w:jc w:val="both"/>
      </w:pPr>
      <w:r>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pPr>
        <w:keepLines w:val="0"/>
        <w:widowControl/>
        <w:ind w:firstLine="709"/>
        <w:jc w:val="both"/>
      </w:pPr>
      <w:r>
        <w:t>El trabajo también contempla implementar un prototipo de aplicación o panel de visualización que presente las variables relevantes, las predicciones y las recomendaciones de forma clara para agricultores, cooperativas y responsables de explotaciones.</w:t>
      </w:r>
    </w:p>
    <w:p>
      <w:pPr>
        <w:keepLines w:val="0"/>
        <w:widowControl/>
        <w:ind w:firstLine="709"/>
        <w:jc w:val="both"/>
      </w:pPr>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pPr>
        <w:pStyle w:val="Heading2"/>
      </w:pPr>
      <w:r>
        <w:t>1.3. Alcance, usuarios y limitaciones</w:t>
      </w:r>
    </w:p>
    <w:p>
      <w:pPr>
        <w:keepLines w:val="0"/>
        <w:widowControl/>
        <w:ind w:firstLine="709"/>
        <w:jc w:val="both"/>
      </w:pPr>
      <w:r>
        <w:t>El trabajo se plantea como una prueba de concepto de un sistema de apoyo a la decisión y abarca el ciclo completo que conecta la adquisición de datos con la presentación de una recomendación de riego. El desarrollo comprende la integración y depuración de la información, el análisis exploratorio, la construcción y comparación de modelos predictivos, la definición de una lógica de recomendación y la implementación de un prototipo de visualización. La aplicación empírica se limitará a una región o cuenca seleccionada y a un conjunto de cultivos hortofrutícolas para los que exista información histórica suficiente y comparable; por tanto, los resultados no se considerarán directamente extrapolables a cualquier cultivo o territorio.</w:t>
      </w:r>
    </w:p>
    <w:p>
      <w:pPr>
        <w:keepLines w:val="0"/>
        <w:widowControl/>
        <w:ind w:firstLine="709"/>
        <w:jc w:val="both"/>
      </w:pPr>
      <w:r>
        <w:t>Las fuentes principales previstas son AEMET OpenData para las observaciones y predicciones meteorológicas, el Sistema de Información Agroclimática para el Regadío (SiAR) para los datos procedentes de estaciones agrometeorológicas y los productos oficiales sobre reservas y estado de los recursos hídricos. AEMET OpenData actúa como sistema de difusión y reutilización de la información meteorológica, mientras que SiAR ofrece información agroclimática orientada a la planificación del riego. Para contextualizar la disponibilidad de agua podrán incorporarse los datos agregados del Boletín Hidrológico semanal, siempre que su escala espacial y temporal sea compatible con el caso de estudio (Agencia Estatal de Meteorología [AEMET], s. f.; Ministerio de Agricultura, Pesca y Alimentación [MAPA], s. f.; Ministerio para la Transición Ecológica y el Reto Demográfico [MITECO], s. f.).</w:t>
      </w:r>
    </w:p>
    <w:p>
      <w:pPr>
        <w:keepLines w:val="0"/>
        <w:widowControl/>
        <w:ind w:firstLine="709"/>
        <w:jc w:val="both"/>
      </w:pPr>
      <w:r>
        <w:t>El horizonte operativo será diario o semanal, en función de la frecuencia y continuidad de los datos disponibles. La salida principal consistirá en una estimación de la necesidad de riego y en una recomendación interpretable sobre la conveniencia, el momento y la cantidad de agua que debe aplicarse. La conversión de una lámina de riego a un volumen por parcela solo se realizará cuando se disponga de la superficie cultivada y de información suficiente sobre la eficiencia del sistema de aplicación. El prototipo no accionará bombas, válvulas ni programadores y tampoco constituirá un sistema de control en tiempo real de circuito cerrado.</w:t>
      </w:r>
    </w:p>
    <w:p>
      <w:pPr>
        <w:keepLines w:val="0"/>
        <w:widowControl/>
        <w:ind w:firstLine="709"/>
        <w:jc w:val="both"/>
      </w:pPr>
      <w:r>
        <w:t>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pPr>
        <w:keepLines w:val="0"/>
        <w:widowControl/>
        <w:ind w:firstLine="709"/>
        <w:jc w:val="both"/>
      </w:pPr>
      <w:r>
        <w:t>La interacción prevista permitirá seleccionar la localización y el tipo de cultivo, consultar las variables de entrada más relevantes, visualizar la estimación obtenida y conocer los elementos que sustentan la recomendación. La decisión final permanecerá en manos del usuario, que deberá contrastarla con el estado real de la parcela, la fase fenológica, las restricciones de la explotación y su conocimiento agronómico. En consecuencia, la salida del sistema no tendrá carácter normativo, contractual ni certificador y no sustituirá las indicaciones de un profesional cualificado.</w:t>
      </w:r>
    </w:p>
    <w:p>
      <w:pPr>
        <w:keepLines w:val="0"/>
        <w:widowControl/>
        <w:ind w:firstLine="709"/>
        <w:jc w:val="both"/>
      </w:pPr>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pPr>
        <w:keepLines w:val="0"/>
        <w:widowControl/>
        <w:ind w:firstLine="709"/>
        <w:jc w:val="both"/>
      </w:pPr>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pPr>
        <w:keepLines w:val="0"/>
        <w:widowControl/>
        <w:ind w:firstLine="709"/>
        <w:jc w:val="both"/>
      </w:pPr>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pPr>
        <w:pStyle w:val="Heading1"/>
      </w:pPr>
      <w:r>
        <w:t>2. Marco teórico y estado del arte</w:t>
      </w:r>
    </w:p>
    <w:p>
      <w:pPr>
        <w:pStyle w:val="Heading2"/>
      </w:pPr>
      <w:r>
        <w:t>2.1. Necesidades hídricas y gestión eficiente del riego</w:t>
      </w:r>
    </w:p>
    <w:p>
      <w:pPr>
        <w:keepLines w:val="0"/>
        <w:widowControl/>
        <w:ind w:firstLine="709"/>
        <w:jc w:val="both"/>
      </w:pPr>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pPr>
        <w:keepLines w:val="0"/>
        <w:widowControl/>
        <w:ind w:firstLine="709"/>
        <w:jc w:val="both"/>
      </w:pPr>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pPr>
        <w:keepLines w:val="0"/>
        <w:widowControl/>
        <w:ind w:firstLine="709"/>
        <w:jc w:val="both"/>
      </w:pPr>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pPr>
        <w:keepLines w:val="0"/>
        <w:widowControl/>
        <w:ind w:firstLine="709"/>
        <w:jc w:val="both"/>
      </w:pPr>
      <w:r>
        <w:t>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transpiración y el rendimiento; una dosis excesiva puede aumentar la escorrentía, la percolación profunda, el lavado de nutrientes o los problemas de aireación del suelo (Allen et al., 1998).</w:t>
      </w:r>
    </w:p>
    <w:p>
      <w:pPr>
        <w:keepLines w:val="0"/>
        <w:widowControl/>
        <w:ind w:firstLine="709"/>
        <w:jc w:val="both"/>
      </w:pPr>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pPr>
        <w:keepLines w:val="0"/>
        <w:widowControl/>
        <w:ind w:firstLine="709"/>
        <w:jc w:val="both"/>
      </w:pPr>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pPr>
        <w:keepLines w:val="0"/>
        <w:widowControl/>
        <w:ind w:firstLine="709"/>
        <w:jc w:val="both"/>
      </w:pPr>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pPr>
        <w:keepLines w:val="0"/>
        <w:widowControl/>
        <w:ind w:firstLine="709"/>
        <w:jc w:val="both"/>
      </w:pPr>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pPr>
        <w:keepLines w:val="0"/>
        <w:widowControl/>
        <w:ind w:firstLine="709"/>
        <w:jc w:val="both"/>
      </w:pPr>
      <w:r>
        <w:t>Estos fundamentos proporcionan la referencia agronómica sobre la que debe construirse el sistema propuesto en este TFM. Los datos meteorológicos permiten estimar la demanda evaporativa; el cultivo y su fase de desarrollo ajustan esa demanda; la precipitación y el estado hídrico del suelo determinan la necesidad neta; y las características del sistema de riego permiten convertirla en una dosis bruta. Los modelos de aprendizaje automático podrán capturar relaciones adicionales o mejorar la predicción, pero sus resultados deberán mantener coherencia con el balance hídrico y compararse con esta referencia. La evaluación de la solución deberá combinar el error predictivo con indicadores de aplicación, uniformidad y productividad del agua cuando los datos disponibles lo permitan, sin equiparar automáticamente una recomendación menor con un ahorro efectivo (Allen et al., 1998; Burt et al., 1997; Howell, 2001).</w:t>
      </w:r>
    </w:p>
    <w:p>
      <w:pPr>
        <w:pStyle w:val="Heading2"/>
      </w:pPr>
      <w:r>
        <w:t>2.2. Agricultura de precisión y Machine Learning</w:t>
      </w:r>
    </w:p>
    <w:p>
      <w:pPr>
        <w:spacing w:after="0"/>
        <w:ind w:firstLine="709"/>
        <w:jc w:val="both"/>
      </w:pPr>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pPr>
        <w:spacing w:after="0"/>
        <w:ind w:firstLine="709"/>
        <w:jc w:val="both"/>
      </w:pPr>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pPr>
        <w:spacing w:after="0"/>
        <w:ind w:firstLine="709"/>
        <w:jc w:val="both"/>
      </w:pPr>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pPr>
        <w:spacing w:after="0"/>
        <w:ind w:firstLine="709"/>
        <w:jc w:val="both"/>
      </w:pPr>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pPr>
        <w:spacing w:after="0"/>
        <w:ind w:firstLine="709"/>
        <w:jc w:val="both"/>
      </w:pPr>
      <w:r>
        <w:t>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pPr>
        <w:spacing w:after="0"/>
        <w:ind w:firstLine="709"/>
        <w:jc w:val="both"/>
      </w:pPr>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pPr>
        <w:spacing w:after="0"/>
        <w:ind w:firstLine="709"/>
        <w:jc w:val="both"/>
      </w:pPr>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pPr>
        <w:spacing w:after="0"/>
        <w:ind w:firstLine="709"/>
        <w:jc w:val="both"/>
      </w:pPr>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pPr>
        <w:spacing w:after="0"/>
        <w:ind w:firstLine="709"/>
        <w:jc w:val="both"/>
      </w:pPr>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pPr>
        <w:spacing w:after="0"/>
        <w:ind w:firstLine="709"/>
        <w:jc w:val="both"/>
      </w:pPr>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pPr>
        <w:pStyle w:val="Heading2"/>
      </w:pPr>
      <w:r>
        <w:t>2.3. Sistemas inteligentes de apoyo a la decisión</w:t>
      </w:r>
    </w:p>
    <w:p>
      <w:pPr>
        <w:spacing w:after="0"/>
        <w:ind w:firstLine="709"/>
        <w:jc w:val="both"/>
      </w:pPr>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pPr>
        <w:spacing w:after="0"/>
        <w:ind w:firstLine="709"/>
        <w:jc w:val="both"/>
      </w:pPr>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pPr>
        <w:spacing w:after="0"/>
        <w:ind w:firstLine="709"/>
        <w:jc w:val="both"/>
      </w:pPr>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pPr>
        <w:spacing w:after="0"/>
        <w:ind w:firstLine="709"/>
        <w:jc w:val="both"/>
      </w:pPr>
      <w:r>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pPr>
        <w:spacing w:after="0"/>
        <w:ind w:firstLine="709"/>
        <w:jc w:val="both"/>
      </w:pPr>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pPr>
        <w:spacing w:after="0"/>
        <w:ind w:firstLine="709"/>
        <w:jc w:val="both"/>
      </w:pPr>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pPr>
        <w:spacing w:after="0"/>
        <w:ind w:firstLine="709"/>
        <w:jc w:val="both"/>
      </w:pPr>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pPr>
        <w:spacing w:after="0"/>
        <w:ind w:firstLine="709"/>
        <w:jc w:val="both"/>
      </w:pPr>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pPr>
        <w:spacing w:after="0"/>
        <w:ind w:firstLine="709"/>
        <w:jc w:val="both"/>
      </w:pPr>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pPr>
        <w:pStyle w:val="Heading1"/>
      </w:pPr>
      <w:r>
        <w:t>3. Metodología y arquitectura del sistema</w:t>
      </w:r>
    </w:p>
    <w:p>
      <w:pPr>
        <w:pStyle w:val="Heading2"/>
      </w:pPr>
      <w:r>
        <w:t>3.1. Fuentes, variables y calidad de los datos</w:t>
      </w:r>
    </w:p>
    <w:p>
      <w:pPr>
        <w:pStyle w:val="Heading2"/>
      </w:pPr>
      <w:r>
        <w:t>3.2. Arquitectura, tecnologías y flujo de información</w:t>
      </w:r>
    </w:p>
    <w:p>
      <w:pPr>
        <w:pStyle w:val="Heading2"/>
      </w:pPr>
      <w:r>
        <w:t>3.3. Planificación y organización del proyecto</w:t>
      </w:r>
    </w:p>
    <w:p>
      <w:pPr>
        <w:pStyle w:val="Heading1"/>
      </w:pPr>
      <w:r>
        <w:t>4. Procesamiento de datos y Machine Learning</w:t>
      </w:r>
    </w:p>
    <w:p>
      <w:pPr>
        <w:pStyle w:val="Heading2"/>
      </w:pPr>
      <w:r>
        <w:t>4.1. Extracción, transformación y almacenamiento de datos</w:t>
      </w:r>
    </w:p>
    <w:p>
      <w:pPr>
        <w:pStyle w:val="Heading2"/>
      </w:pPr>
      <w:r>
        <w:t>4.2. Análisis exploratorio y preparación de variables</w:t>
      </w:r>
    </w:p>
    <w:p>
      <w:pPr>
        <w:pStyle w:val="Heading2"/>
      </w:pPr>
      <w:r>
        <w:t>4.3. Desarrollo y evaluación del modelo predictivo</w:t>
      </w:r>
    </w:p>
    <w:p>
      <w:pPr>
        <w:pStyle w:val="Heading1"/>
      </w:pPr>
      <w:r>
        <w:t>5. Sistema de optimización y resultados</w:t>
      </w:r>
    </w:p>
    <w:p>
      <w:pPr>
        <w:pStyle w:val="Heading2"/>
      </w:pPr>
      <w:r>
        <w:t>5.1. Diseño del sistema de recomendación de riego</w:t>
      </w:r>
    </w:p>
    <w:p>
      <w:pPr>
        <w:pStyle w:val="Heading2"/>
      </w:pPr>
      <w:r>
        <w:t>5.2. Aplicación y visualización de resultados</w:t>
      </w:r>
    </w:p>
    <w:p>
      <w:pPr>
        <w:pStyle w:val="Heading2"/>
      </w:pPr>
      <w:r>
        <w:t>5.3. Validación, resultados y análisis crítico</w:t>
      </w:r>
    </w:p>
    <w:p>
      <w:pPr>
        <w:pStyle w:val="Heading1"/>
      </w:pPr>
      <w:r>
        <w:t>6. Conclusiones</w:t>
      </w:r>
    </w:p>
    <w:p>
      <w:pPr>
        <w:pStyle w:val="Heading2"/>
      </w:pPr>
      <w:r>
        <w:t>6.1. Cumplimiento de objetivos y aportaciones</w:t>
      </w:r>
    </w:p>
    <w:p>
      <w:pPr>
        <w:pStyle w:val="Heading2"/>
      </w:pPr>
      <w:r>
        <w:t>6.2. Limitaciones e impacto del proyecto</w:t>
      </w:r>
    </w:p>
    <w:p>
      <w:pPr>
        <w:pStyle w:val="Heading2"/>
      </w:pPr>
      <w:r>
        <w:t>6.3. Mejoras y líneas futuras</w:t>
      </w:r>
    </w:p>
    <w:p>
      <w:r>
        <w:br w:type="page"/>
      </w:r>
    </w:p>
    <w:p>
      <w:pPr>
        <w:pStyle w:val="Heading1"/>
      </w:pPr>
      <w:r>
        <w:t>Referencias bibliográficas</w:t>
      </w:r>
    </w:p>
    <w:p>
      <w:pPr>
        <w:pStyle w:val="BibliografíaAPA"/>
      </w:pPr>
      <w:r>
        <w:rPr>
          <w:i w:val="0"/>
        </w:rPr>
        <w:t xml:space="preserve">Agencia Estatal de Meteorología. (s. f.). </w:t>
      </w:r>
      <w:r>
        <w:rPr>
          <w:i/>
        </w:rPr>
        <w:t>AEMET OpenData</w:t>
      </w:r>
      <w:r>
        <w:rPr>
          <w:i w:val="0"/>
        </w:rPr>
        <w:t>. Recuperado el 16 de septiembre de 2026, de https://opendata.aemet.es/centrodedescargas/inicio</w:t>
      </w:r>
    </w:p>
    <w:p>
      <w:pPr>
        <w:pStyle w:val="BibliografíaAPA"/>
      </w:pPr>
      <w:r>
        <w:rPr>
          <w:i w:val="0"/>
        </w:rPr>
        <w:t xml:space="preserve">Allen, R. G., Pereira, L. S., Raes, D., &amp; Smith, M. (1998). </w:t>
      </w:r>
      <w:r>
        <w:rPr>
          <w:i/>
        </w:rPr>
        <w:t>Crop evapotranspiration: Guidelines for computing crop water requirements</w:t>
      </w:r>
      <w:r>
        <w:rPr>
          <w:i w:val="0"/>
        </w:rPr>
        <w:t xml:space="preserve"> (FAO Irrigation and Drainage Paper No. 56). Food and Agriculture Organization of the United Nations. https://www.fao.org/4/x0490e/x0490e00.htm</w:t>
      </w:r>
    </w:p>
    <w:p>
      <w:pPr>
        <w:pStyle w:val="BibliografíaAPA"/>
      </w:pPr>
      <w:r>
        <w:rPr>
          <w:i w:val="0"/>
        </w:rPr>
        <w:t xml:space="preserve">Benos, L., Tagarakis, A. C., Dolias, G., Berruto, R., Kateris, D., &amp; Bochtis, D. (2021). Machine learning in agriculture: A comprehensive updated review. </w:t>
      </w:r>
      <w:r>
        <w:rPr>
          <w:i/>
        </w:rPr>
        <w:t>Sensors, 21</w:t>
      </w:r>
      <w:r>
        <w:rPr>
          <w:i w:val="0"/>
        </w:rPr>
        <w:t>(11), 3758. https://doi.org/10.3390/s21113758</w:t>
      </w:r>
    </w:p>
    <w:p>
      <w:pPr>
        <w:pStyle w:val="BibliografíaAPA"/>
      </w:pPr>
      <w:r>
        <w:rPr>
          <w:i w:val="0"/>
        </w:rPr>
        <w:t xml:space="preserve">Burt, C. M., Clemmens, A. J., Strelkoff, T. S., Solomon, K. H., Bliesner, R. D., Hardy, L. A., Howell, T. A., &amp; Eisenhauer, D. E. (1997). Irrigation performance measures: Efficiency and uniformity. </w:t>
      </w:r>
      <w:r>
        <w:rPr>
          <w:i/>
        </w:rPr>
        <w:t>Journal of Irrigation and Drainage Engineering, 123</w:t>
      </w:r>
      <w:r>
        <w:rPr>
          <w:i w:val="0"/>
        </w:rPr>
        <w:t>(6), 423–442. https://doi.org/10.1061/(ASCE)0733-9437(1997)123:6(423)</w:t>
      </w:r>
    </w:p>
    <w:p>
      <w:pPr>
        <w:pStyle w:val="BibliografíaAPA"/>
      </w:pPr>
      <w:r>
        <w:rPr>
          <w:i w:val="0"/>
        </w:rPr>
        <w:t xml:space="preserve">European Environment Agency. (2021). </w:t>
      </w:r>
      <w:r>
        <w:rPr>
          <w:i/>
        </w:rPr>
        <w:t>Water resources across Europe—Confronting water stress: An updated assessment</w:t>
      </w:r>
      <w:r>
        <w:rPr>
          <w:i w:val="0"/>
        </w:rPr>
        <w:t xml:space="preserve"> (EEA Report No. 12/2021). https://www.eea.europa.eu/publications/water-resources-across-europe-confronting-water-stress</w:t>
      </w:r>
    </w:p>
    <w:p>
      <w:pPr>
        <w:pStyle w:val="BibliografíaAPA"/>
      </w:pPr>
      <w:r>
        <w:rPr>
          <w:i w:val="0"/>
        </w:rPr>
        <w:t xml:space="preserve">Fereres, E., &amp; Soriano, M. A. (2007). Deficit irrigation for reducing agricultural water use. </w:t>
      </w:r>
      <w:r>
        <w:rPr>
          <w:i/>
        </w:rPr>
        <w:t>Journal of Experimental Botany, 58</w:t>
      </w:r>
      <w:r>
        <w:rPr>
          <w:i w:val="0"/>
        </w:rPr>
        <w:t>(2), 147–159. https://doi.org/10.1093/jxb/erl165</w:t>
      </w:r>
    </w:p>
    <w:p>
      <w:pPr>
        <w:pStyle w:val="BibliografíaAPA"/>
      </w:pPr>
      <w:r>
        <w:rPr>
          <w:i w:val="0"/>
        </w:rPr>
        <w:t xml:space="preserve">Food and Agriculture Organization of the United Nations. (2021). </w:t>
      </w:r>
      <w:r>
        <w:rPr>
          <w:i/>
        </w:rPr>
        <w:t>The state of the world's land and water resources for food and agriculture—Systems at breaking point</w:t>
      </w:r>
      <w:r>
        <w:rPr>
          <w:i w:val="0"/>
        </w:rPr>
        <w:t>. https://doi.org/10.4060/cb7654en</w:t>
      </w:r>
    </w:p>
    <w:p>
      <w:pPr>
        <w:pStyle w:val="BibliografíaAPA"/>
      </w:pPr>
      <w:r>
        <w:rPr>
          <w:i w:val="0"/>
        </w:rP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rPr>
          <w:i w:val="0"/>
        </w:rPr>
        <w:t>, 40–50. https://doi.org/10.1016/j.compag.2015.05.011</w:t>
      </w:r>
    </w:p>
    <w:p>
      <w:pPr>
        <w:pStyle w:val="BibliografíaAPA"/>
      </w:pPr>
      <w:r>
        <w:rPr>
          <w:i w:val="0"/>
        </w:rPr>
        <w:t xml:space="preserve">Gebbers, R., &amp; Adamchuk, V. I. (2010). Precision agriculture and food security. </w:t>
      </w:r>
      <w:r>
        <w:rPr>
          <w:i/>
        </w:rPr>
        <w:t>Science, 327</w:t>
      </w:r>
      <w:r>
        <w:rPr>
          <w:i w:val="0"/>
        </w:rPr>
        <w:t>(5967), 828–831. https://doi.org/10.1126/science.1183899</w:t>
      </w:r>
    </w:p>
    <w:p>
      <w:pPr>
        <w:pStyle w:val="BibliografíaAPA"/>
      </w:pPr>
      <w:r>
        <w:rPr>
          <w:i w:val="0"/>
        </w:rPr>
        <w:t xml:space="preserve">Howell, T. A. (2001). Enhancing water use efficiency in irrigated agriculture. </w:t>
      </w:r>
      <w:r>
        <w:rPr>
          <w:i/>
        </w:rPr>
        <w:t>Agronomy Journal, 93</w:t>
      </w:r>
      <w:r>
        <w:rPr>
          <w:i w:val="0"/>
        </w:rPr>
        <w:t>(2), 281–289. https://doi.org/10.2134/agronj2001.932281x</w:t>
      </w:r>
    </w:p>
    <w:p>
      <w:pPr>
        <w:pStyle w:val="BibliografíaAPA"/>
      </w:pPr>
      <w:r>
        <w:rPr>
          <w:i w:val="0"/>
        </w:rPr>
        <w:t xml:space="preserve">Intergovernmental Panel on Climate Change. (2022). </w:t>
      </w:r>
      <w:r>
        <w:rPr>
          <w:i/>
        </w:rPr>
        <w:t>Climate change 2022: Impacts, adaptation and vulnerability</w:t>
      </w:r>
      <w:r>
        <w:rPr>
          <w:i w:val="0"/>
        </w:rPr>
        <w:t xml:space="preserve"> (H.-O. Pörtner, D. C. Roberts, M. Tignor, E. S. Poloczanska, K. Mintenbeck, A. Alegría, M. Craig, S. Langsdorf, S. Löschke, V. Möller, A. Okem, &amp; B. Rama, Eds.). Cambridge University Press. https://doi.org/10.1017/9781009325844</w:t>
      </w:r>
    </w:p>
    <w:p>
      <w:pPr>
        <w:pStyle w:val="BibliografíaAPA"/>
      </w:pPr>
      <w:r>
        <w:rPr>
          <w:i w:val="0"/>
        </w:rPr>
        <w:t xml:space="preserve">Liakos, K. G., Busato, P., Moshou, D., Pearson, S., &amp; Bochtis, D. (2018). Machine learning in agriculture: A review. </w:t>
      </w:r>
      <w:r>
        <w:rPr>
          <w:i/>
        </w:rPr>
        <w:t>Sensors, 18</w:t>
      </w:r>
      <w:r>
        <w:rPr>
          <w:i w:val="0"/>
        </w:rPr>
        <w:t>(8), 2674. https://doi.org/10.3390/s18082674</w:t>
      </w:r>
    </w:p>
    <w:p>
      <w:pPr>
        <w:pStyle w:val="BibliografíaAPA"/>
      </w:pPr>
      <w:r>
        <w:rPr>
          <w:i w:val="0"/>
        </w:rPr>
        <w:t xml:space="preserve">Lindblom, J., Lundström, C., Ljung, M., &amp; Jonsson, A. (2017). Promoting sustainable intensification in precision agriculture: Review of decision support systems development and strategies. </w:t>
      </w:r>
      <w:r>
        <w:rPr>
          <w:i/>
        </w:rPr>
        <w:t>Precision Agriculture, 18</w:t>
      </w:r>
      <w:r>
        <w:rPr>
          <w:i w:val="0"/>
        </w:rPr>
        <w:t>(3), 309–331. https://doi.org/10.1007/s11119-016-9491-4</w:t>
      </w:r>
    </w:p>
    <w:p>
      <w:pPr>
        <w:pStyle w:val="BibliografíaAPA"/>
      </w:pPr>
      <w:r>
        <w:rPr>
          <w:i w:val="0"/>
        </w:rPr>
        <w:t xml:space="preserve">Lundberg, S. M., &amp; Lee, S.-I. (2017). A unified approach to interpreting model predictions. </w:t>
      </w:r>
      <w:r>
        <w:rPr>
          <w:i/>
        </w:rPr>
        <w:t>Advances in Neural Information Processing Systems, 30</w:t>
      </w:r>
      <w:r>
        <w:rPr>
          <w:i w:val="0"/>
        </w:rPr>
        <w:t>, 4765–4774. https://proceedings.neurips.cc/paper_files/paper/2017/hash/8a20a8621978632d76c43dfd28b67767-Abstract.html</w:t>
      </w:r>
    </w:p>
    <w:p>
      <w:pPr>
        <w:pStyle w:val="BibliografíaAPA"/>
      </w:pPr>
      <w:r>
        <w:rPr>
          <w:i w:val="0"/>
        </w:rPr>
        <w:t xml:space="preserve">McCown, R. L. (2002). Locating agricultural decision support systems in the troubled past and socio-technical complexity of ‘models for management’. </w:t>
      </w:r>
      <w:r>
        <w:rPr>
          <w:i/>
        </w:rPr>
        <w:t>Agricultural Systems, 74</w:t>
      </w:r>
      <w:r>
        <w:rPr>
          <w:i w:val="0"/>
        </w:rPr>
        <w:t>(1), 11–25. https://doi.org/10.1016/S0308-521X(02)00020-3</w:t>
      </w:r>
    </w:p>
    <w:p>
      <w:pPr>
        <w:pStyle w:val="BibliografíaAPA"/>
      </w:pPr>
      <w:r>
        <w:rPr>
          <w:i w:val="0"/>
        </w:rPr>
        <w:t xml:space="preserve">Ministerio de Agricultura, Pesca y Alimentación. (s. f.). </w:t>
      </w:r>
      <w:r>
        <w:rPr>
          <w:i/>
        </w:rPr>
        <w:t>Sistema de Información Agroclimática para el Regadío (SiAR)</w:t>
      </w:r>
      <w:r>
        <w:rPr>
          <w:i w:val="0"/>
        </w:rPr>
        <w:t>. Recuperado el 16 de septiembre de 2026, de https://servicio.mapa.gob.es/siarweb/</w:t>
      </w:r>
    </w:p>
    <w:p>
      <w:pPr>
        <w:pStyle w:val="BibliografíaAPA"/>
      </w:pPr>
      <w:r>
        <w:rPr>
          <w:i w:val="0"/>
        </w:rPr>
        <w:t xml:space="preserve">Ministerio para la Transición Ecológica y el Reto Demográfico. (s. f.). </w:t>
      </w:r>
      <w:r>
        <w:rPr>
          <w:i/>
        </w:rPr>
        <w:t>El Boletín Hidrológico semanal</w:t>
      </w:r>
      <w:r>
        <w:rPr>
          <w:i w:val="0"/>
        </w:rPr>
        <w:t>. Recuperado el 16 de septiembre de 2026, de https://www.miteco.gob.es/es/agua/temas/evaluacion-de-los-recursos-hidricos/boletin-hidrologico.html</w:t>
      </w:r>
    </w:p>
    <w:p>
      <w:pPr>
        <w:pStyle w:val="BibliografíaAPA"/>
      </w:pPr>
      <w:r>
        <w:rPr>
          <w:i w:val="0"/>
        </w:rPr>
        <w:t xml:space="preserve">Navarro-Hellín, H., Martínez-del-Rincón, J., Domingo-Miguel, R., Soto-Valles, F., &amp; Torres-Sánchez, R. (2016). A decision support system for managing irrigation in agriculture. </w:t>
      </w:r>
      <w:r>
        <w:rPr>
          <w:i/>
        </w:rPr>
        <w:t>Computers and Electronics in Agriculture, 124</w:t>
      </w:r>
      <w:r>
        <w:rPr>
          <w:i w:val="0"/>
        </w:rPr>
        <w:t>, 121–131. https://doi.org/10.1016/j.compag.2016.04.003</w:t>
      </w:r>
    </w:p>
    <w:p>
      <w:pPr>
        <w:pStyle w:val="BibliografíaAPA"/>
      </w:pPr>
      <w:r>
        <w:rPr>
          <w:i w:val="0"/>
        </w:rPr>
        <w:t xml:space="preserve">Perry, C. (2007). Efficient irrigation; inefficient communication; flawed recommendations. </w:t>
      </w:r>
      <w:r>
        <w:rPr>
          <w:i/>
        </w:rPr>
        <w:t>Irrigation and Drainage, 56</w:t>
      </w:r>
      <w:r>
        <w:rPr>
          <w:i w:val="0"/>
        </w:rPr>
        <w:t>(4), 367–378. https://doi.org/10.1002/ird.323</w:t>
      </w:r>
    </w:p>
    <w:p>
      <w:pPr>
        <w:pStyle w:val="BibliografíaAPA"/>
      </w:pPr>
      <w:r>
        <w:rPr>
          <w:i w:val="0"/>
        </w:rPr>
        <w:t xml:space="preserve">Real Decreto 854/2022, de 11 de octubre, por el que se crean la Mesa Nacional del Regadío y el Observatorio de la Sostenibilidad del Regadío. </w:t>
      </w:r>
      <w:r>
        <w:rPr>
          <w:i/>
        </w:rPr>
        <w:t>Boletín Oficial del Estado</w:t>
      </w:r>
      <w:r>
        <w:rPr>
          <w:i w:val="0"/>
        </w:rPr>
        <w:t>, 245, de 12 de octubre de 2022, 139046–139055. https://www.boe.es/eli/es/rd/2022/10/11/854</w:t>
      </w:r>
    </w:p>
    <w:p>
      <w:pPr>
        <w:pStyle w:val="BibliografíaAPA"/>
      </w:pPr>
      <w:r>
        <w:rPr>
          <w:i w:val="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rPr>
          <w:i w:val="0"/>
        </w:rPr>
        <w:t>(8), 913–929. https://doi.org/10.1111/ecog.02881</w:t>
      </w:r>
    </w:p>
    <w:p>
      <w:pPr>
        <w:pStyle w:val="BibliografíaAPA"/>
      </w:pPr>
      <w:r>
        <w:rPr>
          <w:i w:val="0"/>
        </w:rPr>
        <w:t xml:space="preserve">Rose, D. C., Sutherland, W. J., Parker, C., Lobley, M., Winter, M., Morris, C., Twining, S., Ffoulkes, C., Amano, T., &amp; Dicks, L. V. (2016). Decision support tools for agriculture: Towards effective design and delivery. </w:t>
      </w:r>
      <w:r>
        <w:rPr>
          <w:i/>
        </w:rPr>
        <w:t>Agricultural Systems, 149</w:t>
      </w:r>
      <w:r>
        <w:rPr>
          <w:i w:val="0"/>
        </w:rPr>
        <w:t>, 165–174. https://doi.org/10.1016/j.agsy.2016.09.009</w:t>
      </w:r>
    </w:p>
    <w:p>
      <w:pPr>
        <w:pStyle w:val="BibliografíaAPA"/>
      </w:pPr>
      <w:r>
        <w:rPr>
          <w:i w:val="0"/>
        </w:rPr>
        <w:t xml:space="preserve">Shim, J. P., Warkentin, M., Courtney, J. F., Power, D. J., Sharda, R., &amp; Carlsson, C. (2002). Past, present, and future of decision support technology. </w:t>
      </w:r>
      <w:r>
        <w:rPr>
          <w:i/>
        </w:rPr>
        <w:t>Decision Support Systems, 33</w:t>
      </w:r>
      <w:r>
        <w:rPr>
          <w:i w:val="0"/>
        </w:rPr>
        <w:t>(2), 111–126. https://doi.org/10.1016/S0167-9236(01)00139-7</w:t>
      </w:r>
    </w:p>
    <w:p>
      <w:pPr>
        <w:pStyle w:val="BibliografíaAPA"/>
      </w:pPr>
      <w:r>
        <w:rPr>
          <w:i w:val="0"/>
        </w:rPr>
        <w:t xml:space="preserve">Wolfert, S., Ge, L., Verdouw, C., &amp; Bogaardt, M.-J. (2017). Big Data in smart farming—A review. </w:t>
      </w:r>
      <w:r>
        <w:rPr>
          <w:i/>
        </w:rPr>
        <w:t>Agricultural Systems, 153</w:t>
      </w:r>
      <w:r>
        <w:rPr>
          <w:i w:val="0"/>
        </w:rPr>
        <w:t>, 69–80. https://doi.org/10.1016/j.agsy.2017.01.023</w:t>
      </w:r>
    </w:p>
    <w:p>
      <w:pPr>
        <w:pStyle w:val="BibliografíaAPA"/>
      </w:pPr>
      <w:r>
        <w:rPr>
          <w:i w:val="0"/>
        </w:rPr>
        <w:t xml:space="preserve">Zhai, Z., Martínez, J. F., Beltran, V., &amp; Martínez, N. L. (2020). Decision support systems for agriculture 4.0: Survey and challenges. </w:t>
      </w:r>
      <w:r>
        <w:rPr>
          <w:i/>
        </w:rPr>
        <w:t>Computers and Electronics in Agriculture, 170</w:t>
      </w:r>
      <w:r>
        <w:rPr>
          <w:i w:val="0"/>
        </w:rPr>
        <w:t>, 105256. https://doi.org/10.1016/j.compag.2020.105256</w:t>
      </w:r>
    </w:p>
    <w:p>
      <w:pPr>
        <w:pStyle w:val="BibliografíaAPA"/>
      </w:pPr>
      <w:r>
        <w:rPr>
          <w:i w:val="0"/>
        </w:rPr>
        <w:t xml:space="preserve">Zhang, N., Wang, M., &amp; Wang, N. (2002). Precision agriculture—A worldwide overview. </w:t>
      </w:r>
      <w:r>
        <w:rPr>
          <w:i/>
        </w:rPr>
        <w:t>Computers and Electronics in Agriculture, 36</w:t>
      </w:r>
      <w:r>
        <w:rPr>
          <w:i w:val="0"/>
        </w:rPr>
        <w:t>(2–3), 113–132. https://doi.org/10.1016/S0168-1699(02)00096-0</w:t>
      </w:r>
    </w:p>
    <w:sectPr>
      <w:footerReference w:type="default" r:id="rId6"/>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jc w:val="both"/>
    </w:pPr>
    <w:rPr>
      <w:rFonts w:ascii="Times New Roman" w:hAnsi="Times New Roman" w:eastAsia="Times New Roman"/>
      <w:color w:val="000000"/>
      <w:sz w:val="24"/>
    </w:rPr>
  </w:style>
  <w:style w:type="paragraph" w:styleId="Heading1">
    <w:name w:val="heading 1"/>
    <w:basedOn w:val="Normal"/>
    <w:next w:val="Normal"/>
    <w:pPr>
      <w:keepNext/>
      <w:keepLines w:val="1"/>
      <w:pageBreakBefore w:val="0"/>
      <w:spacing w:after="160" w:before="360" w:lineRule="auto"/>
    </w:pPr>
    <w:rPr>
      <w:rFonts w:ascii="Times New Roman" w:hAnsi="Times New Roman" w:eastAsia="Times New Roman"/>
      <w:b/>
      <w:color w:val="000000"/>
      <w:sz w:val="28"/>
      <w:szCs w:val="40"/>
    </w:rPr>
  </w:style>
  <w:style w:type="paragraph" w:styleId="Heading2">
    <w:name w:val="heading 2"/>
    <w:basedOn w:val="Normal"/>
    <w:next w:val="Normal"/>
    <w:pPr>
      <w:keepNext/>
      <w:keepLines w:val="1"/>
      <w:pageBreakBefore w:val="0"/>
      <w:spacing w:after="120" w:before="240" w:lineRule="auto"/>
    </w:pPr>
    <w:rPr>
      <w:rFonts w:ascii="Times New Roman" w:hAnsi="Times New Roman" w:eastAsia="Times New Roman"/>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40" w:before="0" w:lineRule="auto"/>
      <w:jc w:val="center"/>
    </w:pPr>
    <w:rPr>
      <w:rFonts w:ascii="Times New Roman" w:hAnsi="Times New Roman" w:eastAsia="Times New Roman"/>
      <w:b/>
      <w:color w:val="000000"/>
      <w:sz w:val="36"/>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BibliografíaAPA">
    <w:name w:val="Bibliografía APA"/>
    <w:pPr>
      <w:spacing w:line="360" w:lineRule="auto" w:after="120"/>
      <w:ind w:left="720" w:hanging="720"/>
      <w:jc w:val="left"/>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Sistema inteligente de apoyo a la decisión para la gestión hídrica agrícola</dc:title>
  <cp:lastModifiedBy>python-docx</cp:lastModifiedBy>
  <cp:revision>1</cp:revision>
  <dcterms:modified xsi:type="dcterms:W3CDTF">2026-09-16T07:08:41Z</dcterms:modified>
  <dc:subject>TFM de Data Science - apartado 1.1</dc:subject>
  <cp:keywords>regadío, aprendizaje automático, sistema de apoyo a la decisión, gestión hídrica</cp:keywords>
</cp:coreProperties>
</file>