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Cuaderno visual para enseñar el capítulo 4</w:t>
      </w:r>
    </w:p>
    <w:p>
      <w:r>
        <w:rPr>
          <w:rFonts w:ascii="Aptos" w:hAnsi="Aptos"/>
          <w:b/>
          <w:sz w:val="24"/>
        </w:rPr>
        <w:t>TFM Sistema inteligente de apoyo a la decisión para la gestión hídrica agrícola</w:t>
      </w:r>
    </w:p>
    <w:p>
      <w:pPr>
        <w:spacing w:after="120"/>
      </w:pPr>
      <w:r>
        <w:rPr>
          <w:b/>
        </w:rPr>
        <w:t xml:space="preserve">Cómo usar este documento. </w:t>
      </w:r>
      <w:r>
        <w:t>Está preparado como un recorrido de notebook. Cada bloque indica qué abrir, qué dato enseñar y qué significa. No necesitas navegar por todo GitHub ni explicar cada línea de código.</w:t>
      </w:r>
    </w:p>
    <w:p>
      <w:pPr>
        <w:spacing w:after="120"/>
      </w:pPr>
      <w:r>
        <w:rPr>
          <w:b/>
        </w:rPr>
        <w:t xml:space="preserve">Opción recomendada. </w:t>
      </w:r>
      <w:r>
        <w:t>Abre el notebook compañero en Visual Studio Code y avanza por sus celdas. Esta guía queda como apoyo, control y lugar para anotar las respuestas del tutor.</w:t>
      </w:r>
    </w:p>
    <w:p>
      <w:r>
        <w:rPr>
          <w:b/>
        </w:rPr>
        <w:t xml:space="preserve">Notebook en el repositorio local: </w:t>
      </w:r>
      <w:r>
        <w:rPr>
          <w:rFonts w:ascii="Consolas" w:hAnsi="Consolas"/>
          <w:color w:val="1F4E78"/>
          <w:sz w:val="18"/>
        </w:rPr>
        <w:t>notebooks/AP_DEMO_TUTOR_CAPITULO_4.ipynb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 w:val="true"/>
          <w:tblHeader w:val="true"/>
        </w:trPr>
        <w:tc>
          <w:tcPr>
            <w:tcW w:type="dxa" w:w="283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Qué abres</w:t>
            </w:r>
          </w:p>
        </w:tc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Necesita Internet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Notebook en Visual Studio Code</w:t>
            </w:r>
          </w:p>
        </w:tc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Recorrido principal con código, tablas, gráficos y resultados.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No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Esta guía Word</w:t>
            </w:r>
          </w:p>
        </w:tc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Mapa, explicaciones breves, preguntas y registro de decisiones.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No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GitHub main</w:t>
            </w:r>
          </w:p>
        </w:tc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Abrir el archivo completo solo si el tutor pide más detalle.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Sí</w:t>
            </w:r>
          </w:p>
        </w:tc>
      </w:tr>
    </w:tbl>
    <w:p>
      <w:pPr>
        <w:pStyle w:val="Heading1"/>
        <w:keepNext/>
      </w:pPr>
      <w:r>
        <w:t>Qué podemos afirmar con seguridad</w:t>
      </w:r>
    </w:p>
    <w:p>
      <w:pPr>
        <w:pStyle w:val="ListBullet"/>
      </w:pPr>
      <w:r>
        <w:t>Tenemos un histórico real de 150 días de SiAR para AL01.</w:t>
      </w:r>
    </w:p>
    <w:p>
      <w:pPr>
        <w:pStyle w:val="ListBullet"/>
      </w:pPr>
      <w:r>
        <w:t>Tenemos el CSV de necesidades hídricas del pimiento y una variable objetivo diaria.</w:t>
      </w:r>
    </w:p>
    <w:p>
      <w:pPr>
        <w:pStyle w:val="ListBullet"/>
      </w:pPr>
      <w:r>
        <w:t>El proceso genera tablas normalizadas, variables, gráficos, predicciones y métricas.</w:t>
      </w:r>
    </w:p>
    <w:p>
      <w:pPr>
        <w:pStyle w:val="ListBullet"/>
      </w:pPr>
      <w:r>
        <w:t>Las 38 pruebas automáticas pasan.</w:t>
      </w:r>
    </w:p>
    <w:p>
      <w:pPr>
        <w:pStyle w:val="ListBullet"/>
      </w:pPr>
      <w:r>
        <w:t>El resultado es un piloto metodológico, no un DSS desplegado ni una prueba de ahorro de agua.</w:t>
      </w:r>
    </w:p>
    <w:p>
      <w:r>
        <w:br w:type="page"/>
      </w:r>
    </w:p>
    <w:p>
      <w:pPr>
        <w:pStyle w:val="Heading1"/>
        <w:keepNext/>
      </w:pPr>
      <w:r>
        <w:t>1 Vista general del recorrido</w:t>
      </w:r>
    </w:p>
    <w:p>
      <w:pPr>
        <w:spacing w:after="120"/>
      </w:pPr>
      <w:r>
        <w:rPr>
          <w:b/>
        </w:rPr>
        <w:t xml:space="preserve">Qué enseñas. </w:t>
      </w:r>
      <w:r>
        <w:t>El diagrama completo antes de entrar en archivos concretos.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3634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amiento_datos_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3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ptos" w:hAnsi="Aptos"/>
          <w:i/>
          <w:color w:val="595959"/>
          <w:sz w:val="17"/>
        </w:rPr>
        <w:t>Figura 1 Flujo real desde SiAR y AEMET hasta las evidencias y el modelo</w:t>
      </w:r>
    </w:p>
    <w:p>
      <w:pPr>
        <w:spacing w:after="120"/>
      </w:pPr>
      <w:r>
        <w:rPr>
          <w:b/>
        </w:rPr>
        <w:t xml:space="preserve">Qué dices en una frase. </w:t>
      </w:r>
      <w:r>
        <w:t>Guardamos primero la respuesta original, después la normalizamos, construimos variables y finalmente evaluamos modelos respetando el orden temporal.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29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Dónde está</w:t>
            </w:r>
          </w:p>
        </w:tc>
        <w:tc>
          <w:tcPr>
            <w:tcW w:type="dxa" w:w="498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Ejemplo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Raw</w:t>
            </w:r>
          </w:p>
        </w:tc>
        <w:tc>
          <w:tcPr>
            <w:tcW w:type="dxa" w:w="29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data/raw</w:t>
            </w:r>
          </w:p>
        </w:tc>
        <w:tc>
          <w:tcPr>
            <w:tcW w:type="dxa" w:w="498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JSON tal como llega de las APIs.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External</w:t>
            </w:r>
          </w:p>
        </w:tc>
        <w:tc>
          <w:tcPr>
            <w:tcW w:type="dxa" w:w="29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data/external</w:t>
            </w:r>
          </w:p>
        </w:tc>
        <w:tc>
          <w:tcPr>
            <w:tcW w:type="dxa" w:w="498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CSV web de necesidades hídricas.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Interim</w:t>
            </w:r>
          </w:p>
        </w:tc>
        <w:tc>
          <w:tcPr>
            <w:tcW w:type="dxa" w:w="29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data/interim</w:t>
            </w:r>
          </w:p>
        </w:tc>
        <w:tc>
          <w:tcPr>
            <w:tcW w:type="dxa" w:w="498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CSV normalizados y controlados.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Processed</w:t>
            </w:r>
          </w:p>
        </w:tc>
        <w:tc>
          <w:tcPr>
            <w:tcW w:type="dxa" w:w="29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data/processed</w:t>
            </w:r>
          </w:p>
        </w:tc>
        <w:tc>
          <w:tcPr>
            <w:tcW w:type="dxa" w:w="498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Tabla final de 150 filas y 88 columnas.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Evidencias</w:t>
            </w:r>
          </w:p>
        </w:tc>
        <w:tc>
          <w:tcPr>
            <w:tcW w:type="dxa" w:w="29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docs/data_samples y docs/images</w:t>
            </w:r>
          </w:p>
        </w:tc>
        <w:tc>
          <w:tcPr>
            <w:tcW w:type="dxa" w:w="498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Muestras, métricas, predicciones y gráficos.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 Ejemplo real de extracción SiAR</w:t>
      </w:r>
    </w:p>
    <w:p>
      <w:pPr>
        <w:spacing w:after="120"/>
      </w:pPr>
      <w:r>
        <w:rPr>
          <w:b/>
        </w:rPr>
        <w:t xml:space="preserve">Qué enseñas. </w:t>
      </w:r>
      <w:r>
        <w:t>Un fragmento del JSON bruto y el método del cliente que construye la consulta.</w:t>
      </w:r>
    </w:p>
    <w:p>
      <w:pPr>
        <w:keepLines/>
        <w:spacing w:before="80" w:after="140" w:line="240" w:lineRule="auto"/>
        <w:ind w:left="142" w:right="142"/>
        <w:shd w:fill="1E1E1E"/>
        <w:pBdr>
          <w:top w:val="single" w:sz="6" w:color="3A3A3A" w:space="5"/>
          <w:left w:val="single" w:sz="6" w:color="3A3A3A" w:space="5"/>
          <w:bottom w:val="single" w:sz="6" w:color="3A3A3A" w:space="5"/>
          <w:right w:val="single" w:sz="6" w:color="3A3A3A" w:space="5"/>
        </w:pBdr>
      </w:pPr>
      <w:r>
        <w:rPr>
          <w:rFonts w:ascii="Consolas" w:hAnsi="Consolas"/>
          <w:color w:val="F2F2F2"/>
          <w:sz w:val="16"/>
        </w:rPr>
        <w:t>{</w:t>
        <w:br/>
        <w:t xml:space="preserve">  "source": "SiAR",</w:t>
        <w:br/>
        <w:t xml:space="preserve">  "dataset": "weather_daily",</w:t>
        <w:br/>
        <w:t xml:space="preserve">  "ingested_at": "2026-09-24T11:33:44Z",</w:t>
        <w:br/>
        <w:t xml:space="preserve">  "query": {</w:t>
        <w:br/>
        <w:t xml:space="preserve">    "station": "AL01",</w:t>
        <w:br/>
        <w:t xml:space="preserve">    "start_date": "2025-05-01",</w:t>
        <w:br/>
        <w:t xml:space="preserve">    "end_date": "2025-09-30",</w:t>
        <w:br/>
        <w:t xml:space="preserve">    "chunk_count": 2</w:t>
        <w:br/>
        <w:t xml:space="preserve">  },</w:t>
        <w:br/>
        <w:t xml:space="preserve">  "record_count": 150</w:t>
        <w:br/>
        <w:t>}</w:t>
      </w:r>
    </w:p>
    <w:p>
      <w:pPr>
        <w:spacing w:after="120"/>
      </w:pPr>
      <w:r>
        <w:rPr>
          <w:b/>
        </w:rPr>
        <w:t xml:space="preserve">Qué significa. </w:t>
      </w:r>
      <w:r>
        <w:t>La extracción conserva fuente, fechas, estación, momento de ingestión y número de registros. Esto permite repetir y auditar el proceso.</w:t>
      </w:r>
    </w:p>
    <w:p>
      <w:pPr>
        <w:keepLines/>
        <w:spacing w:before="80" w:after="140" w:line="240" w:lineRule="auto"/>
        <w:ind w:left="142" w:right="142"/>
        <w:shd w:fill="1E1E1E"/>
        <w:pBdr>
          <w:top w:val="single" w:sz="6" w:color="3A3A3A" w:space="5"/>
          <w:left w:val="single" w:sz="6" w:color="3A3A3A" w:space="5"/>
          <w:bottom w:val="single" w:sz="6" w:color="3A3A3A" w:space="5"/>
          <w:right w:val="single" w:sz="6" w:color="3A3A3A" w:space="5"/>
        </w:pBdr>
      </w:pPr>
      <w:r>
        <w:rPr>
          <w:rFonts w:ascii="Consolas" w:hAnsi="Consolas"/>
          <w:color w:val="F2F2F2"/>
          <w:sz w:val="16"/>
        </w:rPr>
        <w:t>params = {</w:t>
        <w:br/>
        <w:t xml:space="preserve">    "Id": ["AL01"],</w:t>
        <w:br/>
        <w:t xml:space="preserve">    "FechaInicial": "2025-05-01",</w:t>
        <w:br/>
        <w:t xml:space="preserve">    "FechaFinal": "2025-09-30",</w:t>
        <w:br/>
        <w:t xml:space="preserve">    "DatosCalculados": "true",</w:t>
        <w:br/>
        <w:t>}</w:t>
        <w:br/>
        <w:t>payload = self._get_json("Datos/Diarios/ESTACION", params)</w:t>
        <w:br/>
        <w:t>records = payload["datos"]</w:t>
      </w:r>
    </w:p>
    <w:p>
      <w:pPr>
        <w:spacing w:after="100"/>
      </w:pPr>
      <w:r>
        <w:t xml:space="preserve">Código completo: </w:t>
      </w:r>
      <w:hyperlink r:id="rId11">
        <w:r>
          <w:rPr>
            <w:color w:val="1F4E78"/>
            <w:u w:val="single"/>
          </w:rPr>
          <w:t>src data siar client py</w:t>
        </w:r>
      </w:hyperlink>
      <w:r>
        <w:t>.</w:t>
      </w:r>
    </w:p>
    <w:p>
      <w:pPr>
        <w:spacing w:after="100"/>
      </w:pPr>
      <w:r>
        <w:t xml:space="preserve">Extracción histórica: </w:t>
      </w:r>
      <w:hyperlink r:id="rId12">
        <w:r>
          <w:rPr>
            <w:color w:val="1F4E78"/>
            <w:u w:val="single"/>
          </w:rPr>
          <w:t>src data extract siar history py</w:t>
        </w:r>
      </w:hyperlink>
      <w:r>
        <w:t>.</w:t>
      </w:r>
    </w:p>
    <w:p>
      <w:pPr>
        <w:spacing w:after="120"/>
      </w:pPr>
      <w:r>
        <w:rPr>
          <w:b/>
        </w:rPr>
        <w:t xml:space="preserve">No enseñes. </w:t>
      </w:r>
      <w:r>
        <w:t>El archivo .env ni el token. El cliente los lee sin mostrarlos.</w:t>
      </w:r>
    </w:p>
    <w:p>
      <w:r>
        <w:br w:type="page"/>
      </w:r>
    </w:p>
    <w:p>
      <w:pPr>
        <w:pStyle w:val="Heading1"/>
        <w:keepNext/>
      </w:pPr>
      <w:r>
        <w:t>3 CSV de necesidades hídricas</w:t>
      </w:r>
    </w:p>
    <w:p>
      <w:pPr>
        <w:spacing w:after="120"/>
      </w:pPr>
      <w:r>
        <w:rPr>
          <w:b/>
        </w:rPr>
        <w:t xml:space="preserve">Qué enseñas. </w:t>
      </w:r>
      <w:r>
        <w:t>Una tabla pequeña y legible. Este CSV es el puente entre el cálculo agronómico y el objetivo del modelo.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8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Kc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ET0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ETc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Pe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ETc menos Pe</w:t>
            </w:r>
          </w:p>
        </w:tc>
        <w:tc>
          <w:tcPr>
            <w:tcW w:type="dxa" w:w="1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Calidad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2025-05-01</w:t>
            </w:r>
          </w:p>
        </w:tc>
        <w:tc>
          <w:tcPr>
            <w:tcW w:type="dxa" w:w="8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0.5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4.72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2.36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0.0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2.36</w:t>
            </w:r>
          </w:p>
        </w:tc>
        <w:tc>
          <w:tcPr>
            <w:tcW w:type="dxa" w:w="1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2025-05-14</w:t>
            </w:r>
          </w:p>
        </w:tc>
        <w:tc>
          <w:tcPr>
            <w:tcW w:type="dxa" w:w="8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0.5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2.2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1.1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0.17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0.93</w:t>
            </w:r>
          </w:p>
        </w:tc>
        <w:tc>
          <w:tcPr>
            <w:tcW w:type="dxa" w:w="1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2025-05-23</w:t>
            </w:r>
          </w:p>
        </w:tc>
        <w:tc>
          <w:tcPr>
            <w:tcW w:type="dxa" w:w="8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0.5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3.51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1.75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2.34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0.0</w:t>
            </w:r>
          </w:p>
        </w:tc>
        <w:tc>
          <w:tcPr>
            <w:tcW w:type="dxa" w:w="1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2025-06-01</w:t>
            </w:r>
          </w:p>
        </w:tc>
        <w:tc>
          <w:tcPr>
            <w:tcW w:type="dxa" w:w="8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0.7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6.08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4.25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0.0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4.25</w:t>
            </w:r>
          </w:p>
        </w:tc>
        <w:tc>
          <w:tcPr>
            <w:tcW w:type="dxa" w:w="1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2025-07-01</w:t>
            </w:r>
          </w:p>
        </w:tc>
        <w:tc>
          <w:tcPr>
            <w:tcW w:type="dxa" w:w="8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0.9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6.05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5.45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0.0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5.45</w:t>
            </w:r>
          </w:p>
        </w:tc>
        <w:tc>
          <w:tcPr>
            <w:tcW w:type="dxa" w:w="1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2025-07-21</w:t>
            </w:r>
          </w:p>
        </w:tc>
        <w:tc>
          <w:tcPr>
            <w:tcW w:type="dxa" w:w="8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0.9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-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-</w:t>
            </w:r>
          </w:p>
        </w:tc>
        <w:tc>
          <w:tcPr>
            <w:tcW w:type="dxa" w:w="9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-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-</w:t>
            </w:r>
          </w:p>
        </w:tc>
        <w:tc>
          <w:tcPr>
            <w:tcW w:type="dxa" w:w="1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WARN</w:t>
            </w:r>
          </w:p>
        </w:tc>
      </w:tr>
    </w:tbl>
    <w:p>
      <w:pPr>
        <w:spacing w:after="120"/>
      </w:pPr>
      <w:r>
        <w:rPr>
          <w:b/>
        </w:rPr>
        <w:t xml:space="preserve">Cómo lo explicas. </w:t>
      </w:r>
      <w:r>
        <w:t>Kc representa la fase del cultivo, ET0 la demanda atmosférica, ETc la demanda del cultivo y Pe la lluvia útil. ETc menos Pe es la referencia neta diaria.</w:t>
      </w:r>
    </w:p>
    <w:p>
      <w:pPr>
        <w:spacing w:after="120"/>
      </w:pPr>
      <w:r>
        <w:rPr>
          <w:b/>
        </w:rPr>
        <w:t xml:space="preserve">Qué demuestra la fila WARN. </w:t>
      </w:r>
      <w:r>
        <w:t>Los días sin meteorología no se rellenan de forma silenciosa: se conservan como ausentes y se marcan para revisión.</w:t>
      </w:r>
    </w:p>
    <w:p>
      <w:pPr>
        <w:spacing w:after="100"/>
      </w:pPr>
      <w:r>
        <w:t xml:space="preserve">CSV completo en GitHub: </w:t>
      </w:r>
      <w:hyperlink r:id="rId13">
        <w:r>
          <w:rPr>
            <w:color w:val="1F4E78"/>
            <w:u w:val="single"/>
          </w:rPr>
          <w:t>siar necesidades pimiento AL01 2025 csv</w:t>
        </w:r>
      </w:hyperlink>
      <w:r>
        <w:t>.</w:t>
      </w:r>
    </w:p>
    <w:p>
      <w:r>
        <w:br w:type="page"/>
      </w:r>
    </w:p>
    <w:p>
      <w:pPr>
        <w:pStyle w:val="Heading1"/>
        <w:keepNext/>
      </w:pPr>
      <w:r>
        <w:t>4 Ejemplo real de integración AEMET</w:t>
      </w:r>
    </w:p>
    <w:p>
      <w:pPr>
        <w:spacing w:after="120"/>
      </w:pPr>
      <w:r>
        <w:rPr>
          <w:b/>
        </w:rPr>
        <w:t xml:space="preserve">Qué enseñas. </w:t>
      </w:r>
      <w:r>
        <w:t>El flujo en dos pasos de AEMET y las tablas que ya se generan.</w:t>
      </w:r>
    </w:p>
    <w:p>
      <w:pPr>
        <w:keepLines/>
        <w:spacing w:before="80" w:after="140" w:line="240" w:lineRule="auto"/>
        <w:ind w:left="142" w:right="142"/>
        <w:shd w:fill="1E1E1E"/>
        <w:pBdr>
          <w:top w:val="single" w:sz="6" w:color="3A3A3A" w:space="5"/>
          <w:left w:val="single" w:sz="6" w:color="3A3A3A" w:space="5"/>
          <w:bottom w:val="single" w:sz="6" w:color="3A3A3A" w:space="5"/>
          <w:right w:val="single" w:sz="6" w:color="3A3A3A" w:space="5"/>
        </w:pBdr>
      </w:pPr>
      <w:r>
        <w:rPr>
          <w:rFonts w:ascii="Consolas" w:hAnsi="Consolas"/>
          <w:color w:val="F2F2F2"/>
          <w:sz w:val="16"/>
        </w:rPr>
        <w:t>control = self._request_json(</w:t>
        <w:br/>
        <w:t xml:space="preserve">    f"{self._base_url}/{endpoint}", authenticated=True</w:t>
        <w:br/>
        <w:t>)</w:t>
        <w:br/>
        <w:t>data_url = control["datos"]</w:t>
        <w:br/>
        <w:t>self._validate_download_url(data_url)</w:t>
        <w:br/>
        <w:t>product = self._request_json(data_url, authenticated=False)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 w:val="true"/>
          <w:tblHeader w:val="true"/>
        </w:trPr>
        <w:tc>
          <w:tcPr>
            <w:tcW w:type="dxa" w:w="34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Tabla normalizada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Registros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Variables</w:t>
            </w:r>
          </w:p>
        </w:tc>
        <w:tc>
          <w:tcPr>
            <w:tcW w:type="dxa" w:w="39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Uso actual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aemet_forecast_daily.csv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7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22</w:t>
            </w:r>
          </w:p>
        </w:tc>
        <w:tc>
          <w:tcPr>
            <w:tcW w:type="dxa" w:w="39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Prueba de integración diaria.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aemet_forecast_hourly.csv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48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22</w:t>
            </w:r>
          </w:p>
        </w:tc>
        <w:tc>
          <w:tcPr>
            <w:tcW w:type="dxa" w:w="39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Prueba de integración horaria.</w:t>
            </w:r>
          </w:p>
        </w:tc>
      </w:tr>
    </w:tbl>
    <w:p>
      <w:pPr>
        <w:spacing w:after="120"/>
      </w:pPr>
      <w:r>
        <w:rPr>
          <w:b/>
        </w:rPr>
        <w:t xml:space="preserve">Situación real. </w:t>
      </w:r>
      <w:r>
        <w:t>AEMET está conectado y normalizado, pero no forma parte del entrenamiento actual porque la predicción disponible es de 2026 y el ciclo SiAR analizado es de 2025.</w:t>
      </w:r>
    </w:p>
    <w:p>
      <w:pPr>
        <w:spacing w:after="120"/>
      </w:pPr>
      <w:r>
        <w:rPr>
          <w:b/>
        </w:rPr>
        <w:t xml:space="preserve">Para qué servirá después. </w:t>
      </w:r>
      <w:r>
        <w:t>Ajustar la recomendación operativa con la previsión de lluvia, temperatura, humedad, viento y radiación de los días siguientes.</w:t>
      </w:r>
    </w:p>
    <w:p>
      <w:pPr>
        <w:spacing w:after="100"/>
      </w:pPr>
      <w:r>
        <w:t xml:space="preserve">Código completo: </w:t>
      </w:r>
      <w:hyperlink r:id="rId14">
        <w:r>
          <w:rPr>
            <w:color w:val="1F4E78"/>
            <w:u w:val="single"/>
          </w:rPr>
          <w:t>src data aemet client py</w:t>
        </w:r>
      </w:hyperlink>
      <w:r>
        <w:t>.</w:t>
      </w:r>
    </w:p>
    <w:p>
      <w:r>
        <w:br w:type="page"/>
      </w:r>
    </w:p>
    <w:p>
      <w:pPr>
        <w:pStyle w:val="Heading1"/>
        <w:keepNext/>
      </w:pPr>
      <w:r>
        <w:t>5 Tabla preparada para modelización</w:t>
      </w:r>
    </w:p>
    <w:p>
      <w:pPr>
        <w:spacing w:after="120"/>
      </w:pPr>
      <w:r>
        <w:rPr>
          <w:b/>
        </w:rPr>
        <w:t xml:space="preserve">Qué enseñas. </w:t>
      </w:r>
      <w:r>
        <w:t>Solo siete columnas representativas de las 88 disponibles para que la tabla sea comprensible.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cantSplit w:val="true"/>
          <w:tblHeader w:val="true"/>
        </w:trPr>
        <w:tc>
          <w:tcPr>
            <w:tcW w:type="dxa" w:w="158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0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Temp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Humedad</w:t>
            </w:r>
          </w:p>
        </w:tc>
        <w:tc>
          <w:tcPr>
            <w:tcW w:type="dxa" w:w="79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Kc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Objetivo t menos 1</w:t>
            </w:r>
          </w:p>
        </w:tc>
        <w:tc>
          <w:tcPr>
            <w:tcW w:type="dxa" w:w="11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Calidad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2025-05-01</w:t>
            </w:r>
          </w:p>
        </w:tc>
        <w:tc>
          <w:tcPr>
            <w:tcW w:type="dxa" w:w="10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19.62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75.60</w:t>
            </w:r>
          </w:p>
        </w:tc>
        <w:tc>
          <w:tcPr>
            <w:tcW w:type="dxa" w:w="79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0.5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2.36</w:t>
            </w:r>
          </w:p>
        </w:tc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-</w:t>
            </w:r>
          </w:p>
        </w:tc>
        <w:tc>
          <w:tcPr>
            <w:tcW w:type="dxa" w:w="11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2025-05-02</w:t>
            </w:r>
          </w:p>
        </w:tc>
        <w:tc>
          <w:tcPr>
            <w:tcW w:type="dxa" w:w="10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21.47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59.55</w:t>
            </w:r>
          </w:p>
        </w:tc>
        <w:tc>
          <w:tcPr>
            <w:tcW w:type="dxa" w:w="79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0.5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2.78</w:t>
            </w:r>
          </w:p>
        </w:tc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2.36</w:t>
            </w:r>
          </w:p>
        </w:tc>
        <w:tc>
          <w:tcPr>
            <w:tcW w:type="dxa" w:w="11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2025-05-03</w:t>
            </w:r>
          </w:p>
        </w:tc>
        <w:tc>
          <w:tcPr>
            <w:tcW w:type="dxa" w:w="10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19.93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58.28</w:t>
            </w:r>
          </w:p>
        </w:tc>
        <w:tc>
          <w:tcPr>
            <w:tcW w:type="dxa" w:w="79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0.5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2.63</w:t>
            </w:r>
          </w:p>
        </w:tc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2.78</w:t>
            </w:r>
          </w:p>
        </w:tc>
        <w:tc>
          <w:tcPr>
            <w:tcW w:type="dxa" w:w="11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2025-05-04</w:t>
            </w:r>
          </w:p>
        </w:tc>
        <w:tc>
          <w:tcPr>
            <w:tcW w:type="dxa" w:w="10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18.17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70.10</w:t>
            </w:r>
          </w:p>
        </w:tc>
        <w:tc>
          <w:tcPr>
            <w:tcW w:type="dxa" w:w="79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0.5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2.46</w:t>
            </w:r>
          </w:p>
        </w:tc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2.63</w:t>
            </w:r>
          </w:p>
        </w:tc>
        <w:tc>
          <w:tcPr>
            <w:tcW w:type="dxa" w:w="11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2025-05-05</w:t>
            </w:r>
          </w:p>
        </w:tc>
        <w:tc>
          <w:tcPr>
            <w:tcW w:type="dxa" w:w="10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18.03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72.00</w:t>
            </w:r>
          </w:p>
        </w:tc>
        <w:tc>
          <w:tcPr>
            <w:tcW w:type="dxa" w:w="79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0.5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2.42</w:t>
            </w:r>
          </w:p>
        </w:tc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2.46</w:t>
            </w:r>
          </w:p>
        </w:tc>
        <w:tc>
          <w:tcPr>
            <w:tcW w:type="dxa" w:w="11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PASS</w:t>
            </w:r>
          </w:p>
        </w:tc>
      </w:tr>
    </w:tbl>
    <w:p>
      <w:pPr>
        <w:spacing w:after="120"/>
      </w:pPr>
      <w:r>
        <w:rPr>
          <w:b/>
        </w:rPr>
        <w:t xml:space="preserve">Qué debes señalar. </w:t>
      </w:r>
      <w:r>
        <w:t>La variable del día anterior sí puede usarse porque ya era conocida en el momento de predecir. En cambio, ET0, ETc o Pe del mismo día se excluyen del modelo para evitar fuga de información.</w:t>
      </w:r>
    </w:p>
    <w:p>
      <w:pPr>
        <w:keepLines/>
        <w:spacing w:before="80" w:after="140" w:line="240" w:lineRule="auto"/>
        <w:ind w:left="142" w:right="142"/>
        <w:shd w:fill="1E1E1E"/>
        <w:pBdr>
          <w:top w:val="single" w:sz="6" w:color="3A3A3A" w:space="5"/>
          <w:left w:val="single" w:sz="6" w:color="3A3A3A" w:space="5"/>
          <w:bottom w:val="single" w:sz="6" w:color="3A3A3A" w:space="5"/>
          <w:right w:val="single" w:sz="6" w:color="3A3A3A" w:space="5"/>
        </w:pBdr>
      </w:pPr>
      <w:r>
        <w:rPr>
          <w:rFonts w:ascii="Consolas" w:hAnsi="Consolas"/>
          <w:color w:val="F2F2F2"/>
          <w:sz w:val="16"/>
        </w:rPr>
        <w:t>dataset = merge_weather_and_crop_needs(weather, crop)</w:t>
        <w:br/>
        <w:t>dataset = add_calendar_features(dataset)</w:t>
        <w:br/>
        <w:t>dataset = add_agronomic_features(dataset)</w:t>
        <w:br/>
        <w:t>dataset = add_lagged_features(dataset)</w:t>
      </w:r>
    </w:p>
    <w:p>
      <w:pPr>
        <w:spacing w:after="100"/>
      </w:pPr>
      <w:r>
        <w:t xml:space="preserve">Código de variables: </w:t>
      </w:r>
      <w:hyperlink r:id="rId15">
        <w:r>
          <w:rPr>
            <w:color w:val="1F4E78"/>
            <w:u w:val="single"/>
          </w:rPr>
          <w:t>src features feature engineering py</w:t>
        </w:r>
      </w:hyperlink>
      <w:r>
        <w:t>.</w:t>
      </w:r>
    </w:p>
    <w:p>
      <w:pPr>
        <w:spacing w:after="100"/>
      </w:pPr>
      <w:r>
        <w:t xml:space="preserve">Catálogo de 88 variables: </w:t>
      </w:r>
      <w:hyperlink r:id="rId16">
        <w:r>
          <w:rPr>
            <w:color w:val="1F4E78"/>
            <w:u w:val="single"/>
          </w:rPr>
          <w:t>feature catalog 4 2 csv</w:t>
        </w:r>
      </w:hyperlink>
      <w:r>
        <w:t>.</w:t>
      </w:r>
    </w:p>
    <w:p>
      <w:r>
        <w:br w:type="page"/>
      </w:r>
    </w:p>
    <w:p>
      <w:pPr>
        <w:pStyle w:val="Heading1"/>
        <w:keepNext/>
      </w:pPr>
      <w:r>
        <w:t>6 Análisis exploratorio</w:t>
      </w:r>
    </w:p>
    <w:p>
      <w:pPr>
        <w:spacing w:after="120"/>
      </w:pPr>
      <w:r>
        <w:rPr>
          <w:b/>
        </w:rPr>
        <w:t xml:space="preserve">Qué enseñas. </w:t>
      </w:r>
      <w:r>
        <w:t>Las cifras principales y la evolución temporal de la necesidad hídrica.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 w:val="true"/>
          <w:tblHeader w:val="true"/>
        </w:trPr>
        <w:tc>
          <w:tcPr>
            <w:tcW w:type="dxa" w:w="39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56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Periodo</w:t>
            </w:r>
          </w:p>
        </w:tc>
        <w:tc>
          <w:tcPr>
            <w:tcW w:type="dxa" w:w="56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2025-05-01 a 2025-09-30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Días esperados y observados</w:t>
            </w:r>
          </w:p>
        </w:tc>
        <w:tc>
          <w:tcPr>
            <w:tcW w:type="dxa" w:w="56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153 y 150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Fechas ausentes</w:t>
            </w:r>
          </w:p>
        </w:tc>
        <w:tc>
          <w:tcPr>
            <w:tcW w:type="dxa" w:w="56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2025-07-18, 2025-07-19, 2025-07-20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Duplicados</w:t>
            </w:r>
          </w:p>
        </w:tc>
        <w:tc>
          <w:tcPr>
            <w:tcW w:type="dxa" w:w="56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Objetivo válido</w:t>
            </w:r>
          </w:p>
        </w:tc>
        <w:tc>
          <w:tcPr>
            <w:tcW w:type="dxa" w:w="56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148 filas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Media y total</w:t>
            </w:r>
          </w:p>
        </w:tc>
        <w:tc>
          <w:tcPr>
            <w:tcW w:type="dxa" w:w="566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3.588 mm por día y 531.05 mm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19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series_4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ptos" w:hAnsi="Aptos"/>
          <w:i/>
          <w:color w:val="595959"/>
          <w:sz w:val="17"/>
        </w:rPr>
        <w:t>Figura 2 Serie temporal del piloto de pimiento</w:t>
      </w:r>
    </w:p>
    <w:p>
      <w:pPr>
        <w:spacing w:after="120"/>
      </w:pPr>
      <w:r>
        <w:rPr>
          <w:b/>
        </w:rPr>
        <w:t xml:space="preserve">Cómo lo interpretas. </w:t>
      </w:r>
      <w:r>
        <w:t>La necesidad aumenta con el desarrollo del cultivo y la demanda atmosférica, y desciende cuando aumenta la precipitación efectiva.</w:t>
      </w:r>
    </w:p>
    <w:p>
      <w:r>
        <w:br w:type="page"/>
      </w:r>
    </w:p>
    <w:p>
      <w:pPr>
        <w:pStyle w:val="Heading1"/>
        <w:keepNext/>
      </w:pPr>
      <w:r>
        <w:t>7 Calidad de los datos</w:t>
      </w:r>
    </w:p>
    <w:p>
      <w:pPr>
        <w:spacing w:after="120"/>
      </w:pPr>
      <w:r>
        <w:rPr>
          <w:b/>
        </w:rPr>
        <w:t xml:space="preserve">Qué enseñas. </w:t>
      </w:r>
      <w:r>
        <w:t>Los avisos se identifican y conservan; no se ocultan ni se rellenan arbitrariamente.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9434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quality_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43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ptos" w:hAnsi="Aptos"/>
          <w:i/>
          <w:color w:val="595959"/>
          <w:sz w:val="17"/>
        </w:rPr>
        <w:t>Figura 3 Cobertura temporal y estado de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 w:val="true"/>
          <w:tblHeader w:val="true"/>
        </w:trPr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53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Filas PASS</w:t>
            </w:r>
          </w:p>
        </w:tc>
        <w:tc>
          <w:tcPr>
            <w:tcW w:type="dxa" w:w="453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148</w:t>
            </w:r>
          </w:p>
        </w:tc>
      </w:tr>
      <w:tr>
        <w:trPr>
          <w:cantSplit w:val="true"/>
        </w:trPr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Filas WARN</w:t>
            </w:r>
          </w:p>
        </w:tc>
        <w:tc>
          <w:tcPr>
            <w:tcW w:type="dxa" w:w="453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Fechas ausentes</w:t>
            </w:r>
          </w:p>
        </w:tc>
        <w:tc>
          <w:tcPr>
            <w:tcW w:type="dxa" w:w="453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18, 19 y 20 de julio de 2025</w:t>
            </w:r>
          </w:p>
        </w:tc>
      </w:tr>
      <w:tr>
        <w:trPr>
          <w:cantSplit w:val="true"/>
        </w:trPr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Temperaturas incoherentes</w:t>
            </w:r>
          </w:p>
        </w:tc>
        <w:tc>
          <w:tcPr>
            <w:tcW w:type="dxa" w:w="453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ET0 o precipitación negativas</w:t>
            </w:r>
          </w:p>
        </w:tc>
        <w:tc>
          <w:tcPr>
            <w:tcW w:type="dxa" w:w="453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Necesidades negativas</w:t>
            </w:r>
          </w:p>
        </w:tc>
        <w:tc>
          <w:tcPr>
            <w:tcW w:type="dxa" w:w="453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0</w:t>
            </w:r>
          </w:p>
        </w:tc>
      </w:tr>
    </w:tbl>
    <w:p>
      <w:pPr>
        <w:spacing w:after="100"/>
      </w:pPr>
      <w:r>
        <w:t xml:space="preserve">Resumen reproducible: </w:t>
      </w:r>
      <w:hyperlink r:id="rId19">
        <w:r>
          <w:rPr>
            <w:color w:val="1F4E78"/>
            <w:u w:val="single"/>
          </w:rPr>
          <w:t>eda summary 4 2 json</w:t>
        </w:r>
      </w:hyperlink>
      <w:r>
        <w:t>.</w:t>
      </w:r>
    </w:p>
    <w:p>
      <w:r>
        <w:br w:type="page"/>
      </w:r>
    </w:p>
    <w:p>
      <w:pPr>
        <w:pStyle w:val="Heading1"/>
        <w:keepNext/>
      </w:pPr>
      <w:r>
        <w:t>8 Comparación de modelos</w:t>
      </w:r>
    </w:p>
    <w:p>
      <w:pPr>
        <w:spacing w:after="120"/>
      </w:pPr>
      <w:r>
        <w:rPr>
          <w:b/>
        </w:rPr>
        <w:t xml:space="preserve">Qué enseñas. </w:t>
      </w:r>
      <w:r>
        <w:t>La comparación entre el baseline y dos modelos de Machine Learning usando validación temporal.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 w:val="true"/>
          <w:tblHeader w:val="true"/>
        </w:trPr>
        <w:tc>
          <w:tcPr>
            <w:tcW w:type="dxa" w:w="22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Enfoque</w:t>
            </w:r>
          </w:p>
        </w:tc>
        <w:tc>
          <w:tcPr>
            <w:tcW w:type="dxa" w:w="20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MAE validación</w:t>
            </w:r>
          </w:p>
        </w:tc>
        <w:tc>
          <w:tcPr>
            <w:tcW w:type="dxa" w:w="18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MAE prueba</w:t>
            </w:r>
          </w:p>
        </w:tc>
        <w:tc>
          <w:tcPr>
            <w:tcW w:type="dxa" w:w="34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Decisión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Persistencia</w:t>
            </w:r>
          </w:p>
        </w:tc>
        <w:tc>
          <w:tcPr>
            <w:tcW w:type="dxa" w:w="20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0.434</w:t>
            </w:r>
          </w:p>
        </w:tc>
        <w:tc>
          <w:tcPr>
            <w:tcW w:type="dxa" w:w="18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0.120</w:t>
            </w:r>
          </w:p>
        </w:tc>
        <w:tc>
          <w:tcPr>
            <w:tcW w:type="dxa" w:w="34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Referencia seleccionada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Ridge</w:t>
            </w:r>
          </w:p>
        </w:tc>
        <w:tc>
          <w:tcPr>
            <w:tcW w:type="dxa" w:w="20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0.602</w:t>
            </w:r>
          </w:p>
        </w:tc>
        <w:tc>
          <w:tcPr>
            <w:tcW w:type="dxa" w:w="18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0.314</w:t>
            </w:r>
          </w:p>
        </w:tc>
        <w:tc>
          <w:tcPr>
            <w:tcW w:type="dxa" w:w="34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Mejor candidato ML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Random Forest</w:t>
            </w:r>
          </w:p>
        </w:tc>
        <w:tc>
          <w:tcPr>
            <w:tcW w:type="dxa" w:w="20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1.118</w:t>
            </w:r>
          </w:p>
        </w:tc>
        <w:tc>
          <w:tcPr>
            <w:tcW w:type="dxa" w:w="18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0.562</w:t>
            </w:r>
          </w:p>
        </w:tc>
        <w:tc>
          <w:tcPr>
            <w:tcW w:type="dxa" w:w="34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No mejora el baseline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021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validation_4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2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ptos" w:hAnsi="Aptos"/>
          <w:i/>
          <w:color w:val="595959"/>
          <w:sz w:val="17"/>
        </w:rPr>
        <w:t>Figura 4 Validación temporal y error final</w:t>
      </w:r>
    </w:p>
    <w:p>
      <w:pPr>
        <w:spacing w:after="120"/>
      </w:pPr>
      <w:r>
        <w:rPr>
          <w:b/>
        </w:rPr>
        <w:t xml:space="preserve">Conclusión que debes defender. </w:t>
      </w:r>
      <w:r>
        <w:t>Persistencia obtiene el resultado más estable. Ridge y Random Forest no aportan una mejora consistente con un solo ciclo de 148 observaciones válidas.</w:t>
      </w:r>
    </w:p>
    <w:p>
      <w:pPr>
        <w:spacing w:after="100"/>
      </w:pPr>
      <w:r>
        <w:t xml:space="preserve">Informe completo: </w:t>
      </w:r>
      <w:hyperlink r:id="rId21">
        <w:r>
          <w:rPr>
            <w:color w:val="1F4E78"/>
            <w:u w:val="single"/>
          </w:rPr>
          <w:t>model evaluation 4 3 json</w:t>
        </w:r>
      </w:hyperlink>
      <w:r>
        <w:t>.</w:t>
      </w:r>
    </w:p>
    <w:p>
      <w:r>
        <w:br w:type="page"/>
      </w:r>
    </w:p>
    <w:p>
      <w:pPr>
        <w:pStyle w:val="Heading1"/>
        <w:keepNext/>
      </w:pPr>
      <w:r>
        <w:t>9 Predicciones del tramo final</w:t>
      </w:r>
    </w:p>
    <w:p>
      <w:pPr>
        <w:spacing w:after="120"/>
      </w:pPr>
      <w:r>
        <w:rPr>
          <w:b/>
        </w:rPr>
        <w:t xml:space="preserve">Qué enseñas. </w:t>
      </w:r>
      <w:r>
        <w:t>Cinco de las 23 predicciones del periodo reservado del 8 al 30 de septiembre.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 w:val="true"/>
          <w:tblHeader w:val="true"/>
        </w:trPr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Real</w:t>
            </w:r>
          </w:p>
        </w:tc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Persistencia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Ridge</w:t>
            </w:r>
          </w:p>
        </w:tc>
        <w:tc>
          <w:tcPr>
            <w:tcW w:type="dxa" w:w="22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Random Forest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2025-09-08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1.28</w:t>
            </w:r>
          </w:p>
        </w:tc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0.90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1.00</w:t>
            </w:r>
          </w:p>
        </w:tc>
        <w:tc>
          <w:tcPr>
            <w:tcW w:type="dxa" w:w="22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1.51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2025-09-09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1.03</w:t>
            </w:r>
          </w:p>
        </w:tc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1.28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1.07</w:t>
            </w:r>
          </w:p>
        </w:tc>
        <w:tc>
          <w:tcPr>
            <w:tcW w:type="dxa" w:w="22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1.54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2025-09-10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1.28</w:t>
            </w:r>
          </w:p>
        </w:tc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1.03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0.98</w:t>
            </w:r>
          </w:p>
        </w:tc>
        <w:tc>
          <w:tcPr>
            <w:tcW w:type="dxa" w:w="22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1.54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2025-09-11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1.26</w:t>
            </w:r>
          </w:p>
        </w:tc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1.28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1.06</w:t>
            </w:r>
          </w:p>
        </w:tc>
        <w:tc>
          <w:tcPr>
            <w:tcW w:type="dxa" w:w="22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1.68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2025-09-12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1.28</w:t>
            </w:r>
          </w:p>
        </w:tc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1.26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1.04</w:t>
            </w:r>
          </w:p>
        </w:tc>
        <w:tc>
          <w:tcPr>
            <w:tcW w:type="dxa" w:w="22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1.70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9434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redictions_4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43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ptos" w:hAnsi="Aptos"/>
          <w:i/>
          <w:color w:val="595959"/>
          <w:sz w:val="17"/>
        </w:rPr>
        <w:t>Figura 5 Valores observados y predicciones</w:t>
      </w:r>
    </w:p>
    <w:p>
      <w:pPr>
        <w:spacing w:after="100"/>
      </w:pPr>
      <w:r>
        <w:t xml:space="preserve">Las 23 predicciones: </w:t>
      </w:r>
      <w:hyperlink r:id="rId23">
        <w:r>
          <w:rPr>
            <w:color w:val="1F4E78"/>
            <w:u w:val="single"/>
          </w:rPr>
          <w:t>model predictions 4 3 csv</w:t>
        </w:r>
      </w:hyperlink>
      <w:r>
        <w:t>.</w:t>
      </w:r>
    </w:p>
    <w:p>
      <w:r>
        <w:br w:type="page"/>
      </w:r>
    </w:p>
    <w:p>
      <w:pPr>
        <w:pStyle w:val="Heading1"/>
        <w:keepNext/>
      </w:pPr>
      <w:r>
        <w:t>10 Pruebas y demostración en Visual Studio Code</w:t>
      </w:r>
    </w:p>
    <w:p>
      <w:pPr>
        <w:spacing w:after="120"/>
      </w:pPr>
      <w:r>
        <w:rPr>
          <w:b/>
        </w:rPr>
        <w:t xml:space="preserve">Qué haces. </w:t>
      </w:r>
      <w:r>
        <w:t>Abres el terminal dentro del proyecto y ejecutas únicamente las pruebas locales.</w:t>
      </w:r>
    </w:p>
    <w:p>
      <w:pPr>
        <w:keepLines/>
        <w:spacing w:before="80" w:after="140" w:line="240" w:lineRule="auto"/>
        <w:ind w:left="142" w:right="142"/>
        <w:shd w:fill="1E1E1E"/>
        <w:pBdr>
          <w:top w:val="single" w:sz="6" w:color="3A3A3A" w:space="5"/>
          <w:left w:val="single" w:sz="6" w:color="3A3A3A" w:space="5"/>
          <w:bottom w:val="single" w:sz="6" w:color="3A3A3A" w:space="5"/>
          <w:right w:val="single" w:sz="6" w:color="3A3A3A" w:space="5"/>
        </w:pBdr>
      </w:pPr>
      <w:r>
        <w:rPr>
          <w:rFonts w:ascii="Consolas" w:hAnsi="Consolas"/>
          <w:color w:val="9CDC8C"/>
          <w:sz w:val="17"/>
        </w:rPr>
        <w:t>python -m unittest discover -s tests -p "test_*.py" -v</w:t>
      </w:r>
    </w:p>
    <w:p>
      <w:pPr>
        <w:keepLines/>
        <w:spacing w:before="80" w:after="140" w:line="240" w:lineRule="auto"/>
        <w:ind w:left="142" w:right="142"/>
        <w:shd w:fill="1E1E1E"/>
        <w:pBdr>
          <w:top w:val="single" w:sz="6" w:color="3A3A3A" w:space="5"/>
          <w:left w:val="single" w:sz="6" w:color="3A3A3A" w:space="5"/>
          <w:bottom w:val="single" w:sz="6" w:color="3A3A3A" w:space="5"/>
          <w:right w:val="single" w:sz="6" w:color="3A3A3A" w:space="5"/>
        </w:pBdr>
      </w:pPr>
      <w:r>
        <w:rPr>
          <w:rFonts w:ascii="Consolas" w:hAnsi="Consolas"/>
          <w:color w:val="9CDC8C"/>
          <w:sz w:val="18"/>
        </w:rPr>
        <w:t>Ran 38 tests in 1.834s</w:t>
        <w:br/>
        <w:br/>
        <w:t>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 w:val="true"/>
          <w:tblHeader w:val="true"/>
        </w:trPr>
        <w:tc>
          <w:tcPr>
            <w:tcW w:type="dxa" w:w="6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Bloque probado</w:t>
            </w:r>
          </w:p>
        </w:tc>
        <w:tc>
          <w:tcPr>
            <w:tcW w:type="dxa" w:w="311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Número</w:t>
            </w:r>
          </w:p>
        </w:tc>
      </w:tr>
      <w:tr>
        <w:trPr>
          <w:cantSplit w:val="true"/>
        </w:trPr>
        <w:tc>
          <w:tcPr>
            <w:tcW w:type="dxa" w:w="6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Clientes SiAR y AEMET</w:t>
            </w:r>
          </w:p>
        </w:tc>
        <w:tc>
          <w:tcPr>
            <w:tcW w:type="dxa" w:w="311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Extracciones</w:t>
            </w:r>
          </w:p>
        </w:tc>
        <w:tc>
          <w:tcPr>
            <w:tcW w:type="dxa" w:w="311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6</w:t>
            </w:r>
          </w:p>
        </w:tc>
      </w:tr>
      <w:tr>
        <w:trPr>
          <w:cantSplit w:val="true"/>
        </w:trPr>
        <w:tc>
          <w:tcPr>
            <w:tcW w:type="dxa" w:w="6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Normalización</w:t>
            </w:r>
          </w:p>
        </w:tc>
        <w:tc>
          <w:tcPr>
            <w:tcW w:type="dxa" w:w="311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6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Variables</w:t>
            </w:r>
          </w:p>
        </w:tc>
        <w:tc>
          <w:tcPr>
            <w:tcW w:type="dxa" w:w="311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6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EDA</w:t>
            </w:r>
          </w:p>
        </w:tc>
        <w:tc>
          <w:tcPr>
            <w:tcW w:type="dxa" w:w="311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6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Modelos</w:t>
            </w:r>
          </w:p>
        </w:tc>
        <w:tc>
          <w:tcPr>
            <w:tcW w:type="dxa" w:w="311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6</w:t>
            </w:r>
          </w:p>
        </w:tc>
      </w:tr>
      <w:tr>
        <w:trPr>
          <w:cantSplit w:val="true"/>
        </w:trPr>
        <w:tc>
          <w:tcPr>
            <w:tcW w:type="dxa" w:w="6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Total</w:t>
            </w:r>
          </w:p>
        </w:tc>
        <w:tc>
          <w:tcPr>
            <w:tcW w:type="dxa" w:w="311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8"/>
              </w:rPr>
              <w:t>38</w:t>
            </w:r>
          </w:p>
        </w:tc>
      </w:tr>
    </w:tbl>
    <w:p>
      <w:pPr>
        <w:spacing w:after="120"/>
      </w:pPr>
      <w:r>
        <w:rPr>
          <w:b/>
        </w:rPr>
        <w:t xml:space="preserve">Por qué esto es útil. </w:t>
      </w:r>
      <w:r>
        <w:t>Demuestra que el proceso no depende de una ejecución manual concreta y que se comprueban errores, fechas, duplicados, fuga temporal y reproducibilidad.</w:t>
      </w:r>
    </w:p>
    <w:p>
      <w:pPr>
        <w:spacing w:after="100"/>
      </w:pPr>
      <w:r>
        <w:t xml:space="preserve">Pruebas en GitHub: </w:t>
      </w:r>
      <w:hyperlink r:id="rId24">
        <w:r>
          <w:rPr>
            <w:color w:val="1F4E78"/>
            <w:u w:val="single"/>
          </w:rPr>
          <w:t>carpeta tests</w:t>
        </w:r>
      </w:hyperlink>
      <w:r>
        <w:t>.</w:t>
      </w:r>
    </w:p>
    <w:p>
      <w:r>
        <w:br w:type="page"/>
      </w:r>
    </w:p>
    <w:p>
      <w:pPr>
        <w:pStyle w:val="Heading1"/>
        <w:keepNext/>
      </w:pPr>
      <w:r>
        <w:t>11 Qué debemos preguntar al tutor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 w:val="true"/>
          <w:tblHeader w:val="true"/>
        </w:trP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54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30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Decisión que desbloquea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Alta</w:t>
            </w:r>
          </w:p>
        </w:tc>
        <w:tc>
          <w:tcPr>
            <w:tcW w:type="dxa" w:w="54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¿Mantenemos el alcance nacional con Almería pimiento como piloto?</w:t>
            </w:r>
          </w:p>
        </w:tc>
        <w:tc>
          <w:tcPr>
            <w:tcW w:type="dxa" w:w="30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Alcance y redacción final.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Alta</w:t>
            </w:r>
          </w:p>
        </w:tc>
        <w:tc>
          <w:tcPr>
            <w:tcW w:type="dxa" w:w="54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¿Predecimos ETc menos Pe o usamos ML para corregir el cálculo agronómico?</w:t>
            </w:r>
          </w:p>
        </w:tc>
        <w:tc>
          <w:tcPr>
            <w:tcW w:type="dxa" w:w="30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Papel científico del modelo.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Alta</w:t>
            </w:r>
          </w:p>
        </w:tc>
        <w:tc>
          <w:tcPr>
            <w:tcW w:type="dxa" w:w="54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¿Cuántas campañas, estaciones o cultivos debemos incorporar?</w:t>
            </w:r>
          </w:p>
        </w:tc>
        <w:tc>
          <w:tcPr>
            <w:tcW w:type="dxa" w:w="30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Siguiente extracción.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Alta</w:t>
            </w:r>
          </w:p>
        </w:tc>
        <w:tc>
          <w:tcPr>
            <w:tcW w:type="dxa" w:w="54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¿Qué producto final espera: estudio, API, dashboard o aplicación DSS?</w:t>
            </w:r>
          </w:p>
        </w:tc>
        <w:tc>
          <w:tcPr>
            <w:tcW w:type="dxa" w:w="30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Prioridad de desarrollo.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Media</w:t>
            </w:r>
          </w:p>
        </w:tc>
        <w:tc>
          <w:tcPr>
            <w:tcW w:type="dxa" w:w="54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¿Debemos incorporar sensores y riego realmente aplicado?</w:t>
            </w:r>
          </w:p>
        </w:tc>
        <w:tc>
          <w:tcPr>
            <w:tcW w:type="dxa" w:w="30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Posibilidad de evaluar ahorro.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Media</w:t>
            </w:r>
          </w:p>
        </w:tc>
        <w:tc>
          <w:tcPr>
            <w:tcW w:type="dxa" w:w="54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¿Mantenemos MySQL y Apache Hop o simplificamos la arquitectura?</w:t>
            </w:r>
          </w:p>
        </w:tc>
        <w:tc>
          <w:tcPr>
            <w:tcW w:type="dxa" w:w="30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Coherencia entre memoria e implementación.</w:t>
            </w:r>
          </w:p>
        </w:tc>
      </w:tr>
    </w:tbl>
    <w:p>
      <w:pPr>
        <w:pStyle w:val="Heading2"/>
        <w:keepNext/>
      </w:pPr>
      <w:r>
        <w:t>Qué no debemos afirmar todavía</w:t>
      </w:r>
    </w:p>
    <w:p>
      <w:pPr>
        <w:pStyle w:val="ListBullet"/>
      </w:pPr>
      <w:r>
        <w:t>Que el sistema ya recomienda riego real a agricultores.</w:t>
      </w:r>
    </w:p>
    <w:p>
      <w:pPr>
        <w:pStyle w:val="ListBullet"/>
      </w:pPr>
      <w:r>
        <w:t>Que se ha demostrado ahorro de agua.</w:t>
      </w:r>
    </w:p>
    <w:p>
      <w:pPr>
        <w:pStyle w:val="ListBullet"/>
      </w:pPr>
      <w:r>
        <w:t>Que el modelo se generaliza a toda España.</w:t>
      </w:r>
    </w:p>
    <w:p>
      <w:pPr>
        <w:pStyle w:val="ListBullet"/>
      </w:pPr>
      <w:r>
        <w:t>Que AEMET se utiliza en el entrenamiento actual.</w:t>
      </w:r>
    </w:p>
    <w:p>
      <w:pPr>
        <w:pStyle w:val="ListBullet"/>
      </w:pPr>
      <w:r>
        <w:t>Que MySQL, Apache Hop, MITECO o el dashboard están terminados.</w:t>
      </w:r>
    </w:p>
    <w:p>
      <w:r>
        <w:br w:type="page"/>
      </w:r>
    </w:p>
    <w:p>
      <w:pPr>
        <w:pStyle w:val="Heading1"/>
        <w:keepNext/>
      </w:pPr>
      <w:r>
        <w:t>12 Registro de decisiones</w:t>
      </w:r>
    </w:p>
    <w:p>
      <w:r>
        <w:t>Completar durante la reunión. Después se convertirá cada acuerdo en una tarea concreta del repositorio.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 w:val="true"/>
          <w:tblHeader w:val="true"/>
        </w:trPr>
        <w:tc>
          <w:tcPr>
            <w:tcW w:type="dxa" w:w="21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Respuesta del tutor</w:t>
            </w:r>
          </w:p>
        </w:tc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Próxima acción</w:t>
            </w:r>
          </w:p>
        </w:tc>
        <w:tc>
          <w:tcPr>
            <w:tcW w:type="dxa" w:w="15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Alcance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Variable objetivo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Datos que ampliar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Validación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Producto final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Arquitectura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EF4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  <w:t>Siguiente entrega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color w:val="000000"/>
                <w:sz w:val="17"/>
              </w:rPr>
            </w:r>
          </w:p>
        </w:tc>
      </w:tr>
    </w:tbl>
    <w:p>
      <w:pPr>
        <w:pStyle w:val="Heading2"/>
        <w:keepNext/>
      </w:pPr>
      <w:r>
        <w:t>Lista de comprobación</w:t>
      </w:r>
    </w:p>
    <w:p>
      <w:pPr>
        <w:pStyle w:val="ListBullet"/>
      </w:pPr>
      <w:r>
        <w:t>[ ] Abrir el repositorio en main.</w:t>
      </w:r>
    </w:p>
    <w:p>
      <w:pPr>
        <w:pStyle w:val="ListBullet"/>
      </w:pPr>
      <w:r>
        <w:t>[ ] Abrir el notebook AP DEMO TUTOR CAPITULO 4 en Visual Studio Code.</w:t>
      </w:r>
    </w:p>
    <w:p>
      <w:pPr>
        <w:pStyle w:val="ListBullet"/>
      </w:pPr>
      <w:r>
        <w:t>[ ] Tener visible el diagrama, el CSV y el gráfico de validación.</w:t>
      </w:r>
    </w:p>
    <w:p>
      <w:pPr>
        <w:pStyle w:val="ListBullet"/>
      </w:pPr>
      <w:r>
        <w:t>[ ] Ejecutar previamente las 38 pruebas.</w:t>
      </w:r>
    </w:p>
    <w:p>
      <w:pPr>
        <w:pStyle w:val="ListBullet"/>
      </w:pPr>
      <w:r>
        <w:t>[ ] Cerrar .env y cualquier pantalla con tokens.</w:t>
      </w:r>
    </w:p>
    <w:p>
      <w:pPr>
        <w:pStyle w:val="ListBullet"/>
      </w:pPr>
      <w:r>
        <w:t>[ ] No ejecutar llamadas API durante la reunión.</w:t>
      </w:r>
    </w:p>
    <w:p>
      <w:pPr>
        <w:pStyle w:val="ListBullet"/>
      </w:pPr>
      <w:r>
        <w:t>[ ] Anotar decisiones y responsables en la tabla anterior.</w:t>
      </w:r>
    </w:p>
    <w:sectPr w:rsidR="00FC693F" w:rsidRPr="0006063C" w:rsidSect="00034616">
      <w:footerReference w:type="default" r:id="rId9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6"/>
      </w:rPr>
      <w:t xml:space="preserve">TFM DSS de riego   |   Cuaderno visual   |   </w:t>
    </w:r>
    <w:r>
      <w:rPr>
        <w:rFonts w:ascii="Aptos" w:hAnsi="Aptos"/>
        <w:color w:val="666666"/>
        <w:sz w:val="16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al1sr/tfm-regadio-dss/blob/main/src/data/siar_client.py" TargetMode="External"/><Relationship Id="rId12" Type="http://schemas.openxmlformats.org/officeDocument/2006/relationships/hyperlink" Target="https://github.com/al1sr/tfm-regadio-dss/blob/main/src/data/extract_siar_history.py" TargetMode="External"/><Relationship Id="rId13" Type="http://schemas.openxmlformats.org/officeDocument/2006/relationships/hyperlink" Target="https://github.com/al1sr/tfm-regadio-dss/blob/main/data/external/siar_necesidades_pimiento_AL01_2025.csv" TargetMode="External"/><Relationship Id="rId14" Type="http://schemas.openxmlformats.org/officeDocument/2006/relationships/hyperlink" Target="https://github.com/al1sr/tfm-regadio-dss/blob/main/src/data/aemet_client.py" TargetMode="External"/><Relationship Id="rId15" Type="http://schemas.openxmlformats.org/officeDocument/2006/relationships/hyperlink" Target="https://github.com/al1sr/tfm-regadio-dss/blob/main/src/features/feature_engineering.py" TargetMode="External"/><Relationship Id="rId16" Type="http://schemas.openxmlformats.org/officeDocument/2006/relationships/hyperlink" Target="https://github.com/al1sr/tfm-regadio-dss/blob/main/docs/data_samples/feature_catalog_4_2.csv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hyperlink" Target="https://github.com/al1sr/tfm-regadio-dss/blob/main/docs/data_samples/eda_summary_4_2.json" TargetMode="External"/><Relationship Id="rId20" Type="http://schemas.openxmlformats.org/officeDocument/2006/relationships/image" Target="media/image4.png"/><Relationship Id="rId21" Type="http://schemas.openxmlformats.org/officeDocument/2006/relationships/hyperlink" Target="https://github.com/al1sr/tfm-regadio-dss/blob/main/docs/data_samples/model_evaluation_4_3.json" TargetMode="External"/><Relationship Id="rId22" Type="http://schemas.openxmlformats.org/officeDocument/2006/relationships/image" Target="media/image5.png"/><Relationship Id="rId23" Type="http://schemas.openxmlformats.org/officeDocument/2006/relationships/hyperlink" Target="https://github.com/al1sr/tfm-regadio-dss/blob/main/docs/data_samples/model_predictions_4_3.csv" TargetMode="External"/><Relationship Id="rId24" Type="http://schemas.openxmlformats.org/officeDocument/2006/relationships/hyperlink" Target="https://github.com/al1sr/tfm-regadio-dss/tree/main/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