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4870" w:rsidRPr="00254870" w:rsidRDefault="00254870" w:rsidP="00254870">
      <w:pPr>
        <w:pStyle w:val="Ttulo2"/>
        <w:jc w:val="both"/>
        <w:rPr>
          <w:rFonts w:asciiTheme="minorHAnsi" w:hAnsiTheme="minorHAnsi" w:cstheme="minorHAnsi"/>
        </w:rPr>
      </w:pPr>
      <w:r w:rsidRPr="00254870">
        <w:rPr>
          <w:rFonts w:asciiTheme="minorHAnsi" w:hAnsiTheme="minorHAnsi" w:cstheme="minorHAnsi"/>
        </w:rPr>
        <w:t>Interpretación del gráfico de volcán</w:t>
      </w:r>
    </w:p>
    <w:p w:rsidR="00254870" w:rsidRPr="00254870" w:rsidRDefault="00254870" w:rsidP="00254870">
      <w:pPr>
        <w:spacing w:before="100" w:beforeAutospacing="1" w:after="100" w:afterAutospacing="1" w:line="240" w:lineRule="auto"/>
        <w:jc w:val="both"/>
        <w:rPr>
          <w:rFonts w:eastAsia="Times New Roman" w:cstheme="minorHAnsi"/>
          <w:szCs w:val="24"/>
          <w:lang w:eastAsia="es-ES"/>
        </w:rPr>
      </w:pPr>
      <w:r w:rsidRPr="00254870">
        <w:rPr>
          <w:rFonts w:eastAsia="Times New Roman" w:cstheme="minorHAnsi"/>
          <w:szCs w:val="24"/>
          <w:lang w:eastAsia="es-ES"/>
        </w:rPr>
        <w:t>Basándonos en el gráfico de volcán generado a partir de los resultados de DESeq2 que comparan muestras de personas obesas con muestras de personas con peso normal, esta es la interpretación:</w:t>
      </w:r>
    </w:p>
    <w:p w:rsidR="00254870" w:rsidRPr="00254870" w:rsidRDefault="00254870" w:rsidP="00254870">
      <w:pPr>
        <w:pStyle w:val="Ttulo3"/>
        <w:jc w:val="both"/>
        <w:rPr>
          <w:rFonts w:asciiTheme="minorHAnsi" w:hAnsiTheme="minorHAnsi" w:cstheme="minorHAnsi"/>
        </w:rPr>
      </w:pPr>
      <w:r w:rsidRPr="00254870">
        <w:rPr>
          <w:rFonts w:asciiTheme="minorHAnsi" w:hAnsiTheme="minorHAnsi" w:cstheme="minorHAnsi"/>
        </w:rPr>
        <w:t>Resultados clave</w:t>
      </w:r>
    </w:p>
    <w:p w:rsidR="00254870" w:rsidRPr="00254870" w:rsidRDefault="00254870" w:rsidP="00254870">
      <w:pPr>
        <w:spacing w:before="100" w:beforeAutospacing="1" w:after="100" w:afterAutospacing="1" w:line="240" w:lineRule="auto"/>
        <w:jc w:val="both"/>
        <w:rPr>
          <w:rFonts w:eastAsia="Times New Roman" w:cstheme="minorHAnsi"/>
          <w:szCs w:val="24"/>
          <w:lang w:eastAsia="es-ES"/>
        </w:rPr>
      </w:pPr>
      <w:r w:rsidRPr="00254870">
        <w:rPr>
          <w:rFonts w:eastAsia="Times New Roman" w:cstheme="minorHAnsi"/>
          <w:szCs w:val="24"/>
          <w:lang w:eastAsia="es-ES"/>
        </w:rPr>
        <w:t xml:space="preserve">El gráfico visualiza la expresión génica diferencial utilizando un umbral </w:t>
      </w:r>
      <w:r>
        <w:rPr>
          <w:rFonts w:eastAsia="Times New Roman" w:cstheme="minorHAnsi"/>
          <w:szCs w:val="24"/>
          <w:lang w:eastAsia="es-ES"/>
        </w:rPr>
        <w:t>Log</w:t>
      </w:r>
      <w:r>
        <w:rPr>
          <w:rFonts w:eastAsia="Times New Roman" w:cstheme="minorHAnsi"/>
          <w:szCs w:val="24"/>
          <w:vertAlign w:val="subscript"/>
          <w:lang w:eastAsia="es-ES"/>
        </w:rPr>
        <w:t>2</w:t>
      </w:r>
      <w:r>
        <w:rPr>
          <w:rFonts w:eastAsia="Times New Roman" w:cstheme="minorHAnsi"/>
          <w:szCs w:val="24"/>
          <w:lang w:eastAsia="es-ES"/>
        </w:rPr>
        <w:t xml:space="preserve"> (</w:t>
      </w:r>
      <w:proofErr w:type="spellStart"/>
      <w:r>
        <w:rPr>
          <w:rFonts w:eastAsia="Times New Roman" w:cstheme="minorHAnsi"/>
          <w:szCs w:val="24"/>
          <w:lang w:eastAsia="es-ES"/>
        </w:rPr>
        <w:t>Flod</w:t>
      </w:r>
      <w:proofErr w:type="spellEnd"/>
      <w:r>
        <w:rPr>
          <w:rFonts w:eastAsia="Times New Roman" w:cstheme="minorHAnsi"/>
          <w:szCs w:val="24"/>
          <w:lang w:eastAsia="es-ES"/>
        </w:rPr>
        <w:t xml:space="preserve"> </w:t>
      </w:r>
      <w:proofErr w:type="spellStart"/>
      <w:r>
        <w:rPr>
          <w:rFonts w:eastAsia="Times New Roman" w:cstheme="minorHAnsi"/>
          <w:szCs w:val="24"/>
          <w:lang w:eastAsia="es-ES"/>
        </w:rPr>
        <w:t>Change</w:t>
      </w:r>
      <w:proofErr w:type="spellEnd"/>
      <w:r>
        <w:rPr>
          <w:rFonts w:eastAsia="Times New Roman" w:cstheme="minorHAnsi"/>
          <w:szCs w:val="24"/>
          <w:lang w:eastAsia="es-ES"/>
        </w:rPr>
        <w:t>)</w:t>
      </w:r>
      <w:r w:rsidRPr="00254870">
        <w:rPr>
          <w:rFonts w:eastAsia="Times New Roman" w:cstheme="minorHAnsi"/>
          <w:szCs w:val="24"/>
          <w:lang w:eastAsia="es-ES"/>
        </w:rPr>
        <w:t xml:space="preserve"> de 1,0 (eje X) y un umbral </w:t>
      </w:r>
      <w:r w:rsidRPr="00254870">
        <w:rPr>
          <w:rFonts w:eastAsia="Times New Roman" w:cstheme="minorHAnsi"/>
          <w:b/>
          <w:szCs w:val="24"/>
          <w:lang w:eastAsia="es-ES"/>
        </w:rPr>
        <w:t>ajustado del valor p (</w:t>
      </w:r>
      <w:proofErr w:type="spellStart"/>
      <w:r w:rsidRPr="00254870">
        <w:rPr>
          <w:rFonts w:eastAsia="Times New Roman" w:cstheme="minorHAnsi"/>
          <w:b/>
          <w:szCs w:val="24"/>
          <w:lang w:eastAsia="es-ES"/>
        </w:rPr>
        <w:t>padj</w:t>
      </w:r>
      <w:proofErr w:type="spellEnd"/>
      <w:r w:rsidRPr="00254870">
        <w:rPr>
          <w:rFonts w:eastAsia="Times New Roman" w:cstheme="minorHAnsi"/>
          <w:b/>
          <w:szCs w:val="24"/>
          <w:lang w:eastAsia="es-ES"/>
        </w:rPr>
        <w:t>)</w:t>
      </w:r>
      <w:r w:rsidRPr="00254870">
        <w:rPr>
          <w:rFonts w:eastAsia="Times New Roman" w:cstheme="minorHAnsi"/>
          <w:szCs w:val="24"/>
          <w:lang w:eastAsia="es-ES"/>
        </w:rPr>
        <w:t xml:space="preserve">  de </w:t>
      </w:r>
      <w:r>
        <w:rPr>
          <w:rFonts w:eastAsia="Times New Roman" w:cstheme="minorHAnsi"/>
          <w:szCs w:val="24"/>
          <w:lang w:eastAsia="es-ES"/>
        </w:rPr>
        <w:t>0,05 (eje Y, representado como –</w:t>
      </w:r>
      <w:proofErr w:type="gramStart"/>
      <w:r>
        <w:rPr>
          <w:rFonts w:eastAsia="Times New Roman" w:cstheme="minorHAnsi"/>
          <w:szCs w:val="24"/>
          <w:lang w:eastAsia="es-ES"/>
        </w:rPr>
        <w:t>Log</w:t>
      </w:r>
      <w:r>
        <w:rPr>
          <w:rFonts w:eastAsia="Times New Roman" w:cstheme="minorHAnsi"/>
          <w:szCs w:val="24"/>
          <w:vertAlign w:val="subscript"/>
          <w:lang w:eastAsia="es-ES"/>
        </w:rPr>
        <w:t>10</w:t>
      </w:r>
      <w:r>
        <w:rPr>
          <w:rFonts w:eastAsia="Times New Roman" w:cstheme="minorHAnsi"/>
          <w:szCs w:val="24"/>
          <w:lang w:eastAsia="es-ES"/>
        </w:rPr>
        <w:t>(</w:t>
      </w:r>
      <w:proofErr w:type="spellStart"/>
      <w:proofErr w:type="gramEnd"/>
      <w:r>
        <w:rPr>
          <w:rFonts w:eastAsia="Times New Roman" w:cstheme="minorHAnsi"/>
          <w:szCs w:val="24"/>
          <w:lang w:eastAsia="es-ES"/>
        </w:rPr>
        <w:t>padj</w:t>
      </w:r>
      <w:proofErr w:type="spellEnd"/>
      <w:r w:rsidRPr="00254870">
        <w:rPr>
          <w:rFonts w:eastAsia="Times New Roman" w:cstheme="minorHAnsi"/>
          <w:szCs w:val="24"/>
          <w:lang w:eastAsia="es-ES"/>
        </w:rPr>
        <w:t>).</w:t>
      </w:r>
    </w:p>
    <w:p w:rsidR="00254870" w:rsidRPr="00254870" w:rsidRDefault="00254870" w:rsidP="00254870">
      <w:pPr>
        <w:spacing w:before="100" w:beforeAutospacing="1" w:after="100" w:afterAutospacing="1" w:line="240" w:lineRule="auto"/>
        <w:ind w:left="708"/>
        <w:jc w:val="both"/>
        <w:rPr>
          <w:rFonts w:eastAsia="Times New Roman" w:cstheme="minorHAnsi"/>
          <w:szCs w:val="24"/>
          <w:lang w:eastAsia="es-ES"/>
        </w:rPr>
      </w:pPr>
      <w:r w:rsidRPr="00254870">
        <w:rPr>
          <w:rFonts w:eastAsia="Times New Roman" w:cstheme="minorHAnsi"/>
          <w:szCs w:val="24"/>
          <w:u w:val="single"/>
          <w:lang w:eastAsia="es-ES"/>
        </w:rPr>
        <w:t>1. Expresión diferencial significativa:</w:t>
      </w:r>
      <w:r w:rsidRPr="00254870">
        <w:rPr>
          <w:rFonts w:eastAsia="Times New Roman" w:cstheme="minorHAnsi"/>
          <w:szCs w:val="24"/>
          <w:lang w:eastAsia="es-ES"/>
        </w:rPr>
        <w:t xml:space="preserve"> los genes que se encuentran en las regiones roja y azul (por encima de la línea discontinua horizontal y fuera de las líneas discontinuas verticales</w:t>
      </w:r>
      <w:r>
        <w:rPr>
          <w:rFonts w:eastAsia="Times New Roman" w:cstheme="minorHAnsi"/>
          <w:szCs w:val="24"/>
          <w:lang w:eastAsia="es-ES"/>
        </w:rPr>
        <w:t xml:space="preserve"> grises oscuras</w:t>
      </w:r>
      <w:r w:rsidRPr="00254870">
        <w:rPr>
          <w:rFonts w:eastAsia="Times New Roman" w:cstheme="minorHAnsi"/>
          <w:szCs w:val="24"/>
          <w:lang w:eastAsia="es-ES"/>
        </w:rPr>
        <w:t>) se consideran expresados de forma significativamente diferencial (SDE).</w:t>
      </w:r>
      <w:bookmarkStart w:id="0" w:name="_GoBack"/>
      <w:bookmarkEnd w:id="0"/>
    </w:p>
    <w:p w:rsidR="00254870" w:rsidRPr="00254870" w:rsidRDefault="00254870" w:rsidP="00254870">
      <w:pPr>
        <w:spacing w:before="100" w:beforeAutospacing="1" w:after="100" w:afterAutospacing="1" w:line="240" w:lineRule="auto"/>
        <w:ind w:left="708"/>
        <w:jc w:val="both"/>
        <w:rPr>
          <w:rFonts w:eastAsia="Times New Roman" w:cstheme="minorHAnsi"/>
          <w:szCs w:val="24"/>
          <w:lang w:eastAsia="es-ES"/>
        </w:rPr>
      </w:pPr>
      <w:r w:rsidRPr="00254870">
        <w:rPr>
          <w:rFonts w:eastAsia="Times New Roman" w:cstheme="minorHAnsi"/>
          <w:szCs w:val="24"/>
          <w:u w:val="single"/>
          <w:lang w:eastAsia="es-ES"/>
        </w:rPr>
        <w:t>2. Genes regulados al alza (rojo):</w:t>
      </w:r>
      <w:r w:rsidRPr="00254870">
        <w:rPr>
          <w:rFonts w:eastAsia="Times New Roman" w:cstheme="minorHAnsi"/>
          <w:szCs w:val="24"/>
          <w:lang w:eastAsia="es-ES"/>
        </w:rPr>
        <w:t xml:space="preserve"> los SDE situados en la parte superior derecha (por ejemplo, PCSK1) están regulados al alza de forma significativa en el grupo obeso en comparación con el grupo de peso normal. Esto significa que se expresan al menos dos veces más en las muestras obesas.</w:t>
      </w:r>
    </w:p>
    <w:p w:rsidR="00254870" w:rsidRPr="00254870" w:rsidRDefault="00254870" w:rsidP="00254870">
      <w:pPr>
        <w:spacing w:before="100" w:beforeAutospacing="1" w:after="100" w:afterAutospacing="1" w:line="240" w:lineRule="auto"/>
        <w:ind w:left="708"/>
        <w:jc w:val="both"/>
        <w:rPr>
          <w:rFonts w:eastAsia="Times New Roman" w:cstheme="minorHAnsi"/>
          <w:szCs w:val="24"/>
          <w:lang w:eastAsia="es-ES"/>
        </w:rPr>
      </w:pPr>
      <w:r w:rsidRPr="00254870">
        <w:rPr>
          <w:rFonts w:eastAsia="Times New Roman" w:cstheme="minorHAnsi"/>
          <w:szCs w:val="24"/>
          <w:u w:val="single"/>
          <w:lang w:eastAsia="es-ES"/>
        </w:rPr>
        <w:t>3. Genes regulados a la baja (azules):</w:t>
      </w:r>
      <w:r w:rsidRPr="00254870">
        <w:rPr>
          <w:rFonts w:eastAsia="Times New Roman" w:cstheme="minorHAnsi"/>
          <w:szCs w:val="24"/>
          <w:lang w:eastAsia="es-ES"/>
        </w:rPr>
        <w:t xml:space="preserve"> los SDE situados en la parte superior izquierda (por ejemplo, NTRK2) están significativamente regulados a la baja en el grupo obeso. Estos genes muestran una reducción de dos veces o más en su expresión en las muestras obesas.</w:t>
      </w:r>
    </w:p>
    <w:p w:rsidR="00254870" w:rsidRPr="00254870" w:rsidRDefault="00254870" w:rsidP="00254870">
      <w:pPr>
        <w:spacing w:before="100" w:beforeAutospacing="1" w:after="100" w:afterAutospacing="1" w:line="240" w:lineRule="auto"/>
        <w:ind w:left="708"/>
        <w:jc w:val="both"/>
        <w:rPr>
          <w:rFonts w:eastAsia="Times New Roman" w:cstheme="minorHAnsi"/>
          <w:szCs w:val="24"/>
          <w:lang w:eastAsia="es-ES"/>
        </w:rPr>
      </w:pPr>
      <w:r w:rsidRPr="00254870">
        <w:rPr>
          <w:rFonts w:eastAsia="Times New Roman" w:cstheme="minorHAnsi"/>
          <w:szCs w:val="24"/>
          <w:u w:val="single"/>
          <w:lang w:eastAsia="es-ES"/>
        </w:rPr>
        <w:t>4. Solidez estadística:</w:t>
      </w:r>
      <w:r w:rsidRPr="00254870">
        <w:rPr>
          <w:rFonts w:eastAsia="Times New Roman" w:cstheme="minorHAnsi"/>
          <w:szCs w:val="24"/>
          <w:lang w:eastAsia="es-ES"/>
        </w:rPr>
        <w:t xml:space="preserve"> los genes más significativos se agrupan en la parte superior del eje Y. El gen NTRK2 muestra la mayor significación estadística y la mayor magnitud de cambio, lo que sugiere que es el diferenciador más fuerte entre las dos condiciones.</w:t>
      </w:r>
    </w:p>
    <w:p w:rsidR="00254870" w:rsidRPr="00254870" w:rsidRDefault="00254870" w:rsidP="00254870">
      <w:pPr>
        <w:spacing w:before="100" w:beforeAutospacing="1" w:after="100" w:afterAutospacing="1" w:line="240" w:lineRule="auto"/>
        <w:ind w:left="708"/>
        <w:jc w:val="both"/>
        <w:rPr>
          <w:rFonts w:eastAsia="Times New Roman" w:cstheme="minorHAnsi"/>
          <w:szCs w:val="24"/>
          <w:lang w:eastAsia="es-ES"/>
        </w:rPr>
      </w:pPr>
      <w:r w:rsidRPr="00254870">
        <w:rPr>
          <w:rFonts w:eastAsia="Times New Roman" w:cstheme="minorHAnsi"/>
          <w:szCs w:val="24"/>
          <w:u w:val="single"/>
          <w:lang w:eastAsia="es-ES"/>
        </w:rPr>
        <w:t>5. Genes no significativos (gris):</w:t>
      </w:r>
      <w:r w:rsidRPr="00254870">
        <w:rPr>
          <w:rFonts w:eastAsia="Times New Roman" w:cstheme="minorHAnsi"/>
          <w:szCs w:val="24"/>
          <w:lang w:eastAsia="es-ES"/>
        </w:rPr>
        <w:t xml:space="preserve"> la mayoría de los genes (en el centro) no cumplen los estrictos criterios de significación estadística y magnitud biológica.</w:t>
      </w:r>
    </w:p>
    <w:p w:rsidR="00254870" w:rsidRPr="00254870" w:rsidRDefault="00254870" w:rsidP="00254870">
      <w:pPr>
        <w:spacing w:before="100" w:beforeAutospacing="1" w:after="100" w:afterAutospacing="1" w:line="240" w:lineRule="auto"/>
        <w:jc w:val="both"/>
        <w:rPr>
          <w:rFonts w:eastAsia="Times New Roman" w:cstheme="minorHAnsi"/>
          <w:szCs w:val="24"/>
          <w:lang w:eastAsia="es-ES"/>
        </w:rPr>
      </w:pPr>
      <w:r w:rsidRPr="00254870">
        <w:rPr>
          <w:rFonts w:eastAsia="Times New Roman" w:cstheme="minorHAnsi"/>
          <w:szCs w:val="24"/>
          <w:lang w:eastAsia="es-ES"/>
        </w:rPr>
        <w:t>En resumen, la comparación revela un conjunto robusto de genes que se alteran significativamente entre los estados obesos y de peso normal, siendo NTRK2 el principal candidato para la expresión diferencial.</w:t>
      </w:r>
    </w:p>
    <w:p w:rsidR="00254870" w:rsidRPr="00254870" w:rsidRDefault="00254870" w:rsidP="00254870">
      <w:pPr>
        <w:spacing w:before="100" w:beforeAutospacing="1" w:after="100" w:afterAutospacing="1" w:line="240" w:lineRule="auto"/>
        <w:jc w:val="both"/>
        <w:rPr>
          <w:rFonts w:eastAsia="Times New Roman" w:cstheme="minorHAnsi"/>
          <w:sz w:val="24"/>
          <w:szCs w:val="24"/>
          <w:lang w:eastAsia="es-ES"/>
        </w:rPr>
      </w:pPr>
    </w:p>
    <w:p w:rsidR="00254870" w:rsidRPr="00254870" w:rsidRDefault="00254870" w:rsidP="00254870">
      <w:pPr>
        <w:spacing w:after="0" w:line="240" w:lineRule="auto"/>
        <w:jc w:val="both"/>
        <w:rPr>
          <w:rFonts w:eastAsia="Times New Roman" w:cstheme="minorHAnsi"/>
          <w:sz w:val="24"/>
          <w:szCs w:val="24"/>
          <w:lang w:eastAsia="es-ES"/>
        </w:rPr>
      </w:pPr>
    </w:p>
    <w:p w:rsidR="00BE7F82" w:rsidRPr="00254870" w:rsidRDefault="00BE7F82" w:rsidP="00254870">
      <w:pPr>
        <w:jc w:val="both"/>
        <w:rPr>
          <w:rFonts w:cstheme="minorHAnsi"/>
        </w:rPr>
      </w:pPr>
    </w:p>
    <w:sectPr w:rsidR="00BE7F82" w:rsidRPr="002548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6197C"/>
    <w:multiLevelType w:val="multilevel"/>
    <w:tmpl w:val="BEE2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870"/>
    <w:rsid w:val="001E3E65"/>
    <w:rsid w:val="00254870"/>
    <w:rsid w:val="00B80863"/>
    <w:rsid w:val="00BE7F82"/>
    <w:rsid w:val="00F37E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EC6"/>
  </w:style>
  <w:style w:type="paragraph" w:styleId="Ttulo2">
    <w:name w:val="heading 2"/>
    <w:basedOn w:val="Normal"/>
    <w:link w:val="Ttulo2Car"/>
    <w:uiPriority w:val="9"/>
    <w:qFormat/>
    <w:rsid w:val="0025487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254870"/>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37EC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37EC6"/>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F37EC6"/>
    <w:pPr>
      <w:ind w:left="720"/>
      <w:contextualSpacing/>
    </w:pPr>
  </w:style>
  <w:style w:type="character" w:customStyle="1" w:styleId="Ttulo2Car">
    <w:name w:val="Título 2 Car"/>
    <w:basedOn w:val="Fuentedeprrafopredeter"/>
    <w:link w:val="Ttulo2"/>
    <w:uiPriority w:val="9"/>
    <w:rsid w:val="00254870"/>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254870"/>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25487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ath-inline">
    <w:name w:val="math-inline"/>
    <w:basedOn w:val="Fuentedeprrafopredeter"/>
    <w:rsid w:val="00254870"/>
  </w:style>
  <w:style w:type="character" w:styleId="Hipervnculo">
    <w:name w:val="Hyperlink"/>
    <w:basedOn w:val="Fuentedeprrafopredeter"/>
    <w:uiPriority w:val="99"/>
    <w:semiHidden/>
    <w:unhideWhenUsed/>
    <w:rsid w:val="0025487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EC6"/>
  </w:style>
  <w:style w:type="paragraph" w:styleId="Ttulo2">
    <w:name w:val="heading 2"/>
    <w:basedOn w:val="Normal"/>
    <w:link w:val="Ttulo2Car"/>
    <w:uiPriority w:val="9"/>
    <w:qFormat/>
    <w:rsid w:val="0025487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254870"/>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37EC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37EC6"/>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F37EC6"/>
    <w:pPr>
      <w:ind w:left="720"/>
      <w:contextualSpacing/>
    </w:pPr>
  </w:style>
  <w:style w:type="character" w:customStyle="1" w:styleId="Ttulo2Car">
    <w:name w:val="Título 2 Car"/>
    <w:basedOn w:val="Fuentedeprrafopredeter"/>
    <w:link w:val="Ttulo2"/>
    <w:uiPriority w:val="9"/>
    <w:rsid w:val="00254870"/>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254870"/>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25487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ath-inline">
    <w:name w:val="math-inline"/>
    <w:basedOn w:val="Fuentedeprrafopredeter"/>
    <w:rsid w:val="00254870"/>
  </w:style>
  <w:style w:type="character" w:styleId="Hipervnculo">
    <w:name w:val="Hyperlink"/>
    <w:basedOn w:val="Fuentedeprrafopredeter"/>
    <w:uiPriority w:val="99"/>
    <w:semiHidden/>
    <w:unhideWhenUsed/>
    <w:rsid w:val="002548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453101">
      <w:bodyDiv w:val="1"/>
      <w:marLeft w:val="0"/>
      <w:marRight w:val="0"/>
      <w:marTop w:val="0"/>
      <w:marBottom w:val="0"/>
      <w:divBdr>
        <w:top w:val="none" w:sz="0" w:space="0" w:color="auto"/>
        <w:left w:val="none" w:sz="0" w:space="0" w:color="auto"/>
        <w:bottom w:val="none" w:sz="0" w:space="0" w:color="auto"/>
        <w:right w:val="none" w:sz="0" w:space="0" w:color="auto"/>
      </w:divBdr>
    </w:div>
    <w:div w:id="719011319">
      <w:bodyDiv w:val="1"/>
      <w:marLeft w:val="0"/>
      <w:marRight w:val="0"/>
      <w:marTop w:val="0"/>
      <w:marBottom w:val="0"/>
      <w:divBdr>
        <w:top w:val="none" w:sz="0" w:space="0" w:color="auto"/>
        <w:left w:val="none" w:sz="0" w:space="0" w:color="auto"/>
        <w:bottom w:val="none" w:sz="0" w:space="0" w:color="auto"/>
        <w:right w:val="none" w:sz="0" w:space="0" w:color="auto"/>
      </w:divBdr>
    </w:div>
    <w:div w:id="1068646353">
      <w:bodyDiv w:val="1"/>
      <w:marLeft w:val="0"/>
      <w:marRight w:val="0"/>
      <w:marTop w:val="0"/>
      <w:marBottom w:val="0"/>
      <w:divBdr>
        <w:top w:val="none" w:sz="0" w:space="0" w:color="auto"/>
        <w:left w:val="none" w:sz="0" w:space="0" w:color="auto"/>
        <w:bottom w:val="none" w:sz="0" w:space="0" w:color="auto"/>
        <w:right w:val="none" w:sz="0" w:space="0" w:color="auto"/>
      </w:divBdr>
    </w:div>
    <w:div w:id="212619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292</Words>
  <Characters>1612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Luffi</cp:lastModifiedBy>
  <cp:revision>1</cp:revision>
  <dcterms:created xsi:type="dcterms:W3CDTF">2025-12-16T16:19:00Z</dcterms:created>
  <dcterms:modified xsi:type="dcterms:W3CDTF">2025-12-16T16:29:00Z</dcterms:modified>
</cp:coreProperties>
</file>