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Quarterly Sales Report</w:t>
      </w:r>
    </w:p>
    <w:p>
      <w:pPr>
        <w:pStyle w:val="Title"/>
      </w:pPr>
      <w:r>
        <w:t xml:space="preserve"> [TRANSLATION: Bericht]</w:t>
      </w:r>
    </w:p>
    <w:p>
      <w:pPr>
        <w:pStyle w:val="Heading1"/>
      </w:pPr>
      <w:r>
        <w:t xml:space="preserve">Introduction</w:t>
      </w:r>
    </w:p>
    <w:p>
      <w:pPr>
        <w:spacing w:after="200"/>
      </w:pPr>
      <w:r>
        <w:t xml:space="preserve">This document provides an overview of our </w:t>
      </w:r>
      <w:r>
        <w:rPr>
          <w:b/>
          <w:bCs/>
        </w:rPr>
        <w:t xml:space="preserve">Q3 2024</w:t>
      </w:r>
      <w:r>
        <w:t xml:space="preserve"> sales performance. The results show </w:t>
      </w:r>
      <w:r>
        <w:rPr>
          <w:b/>
          <w:bCs/>
          <w:i/>
          <w:iCs/>
        </w:rPr>
        <w:t xml:space="preserve">significant growth</w:t>
      </w:r>
      <w:r>
        <w:t xml:space="preserve"> compared to previous quarters.</w:t>
      </w:r>
    </w:p>
    <w:p>
      <w:pPr>
        <w:spacing w:after="200"/>
      </w:pPr>
      <w:r>
        <w:t xml:space="preserve">[HIGHLIGHT:#FFEB3B]This section requires executive attention and review before the board meeting.</w:t>
      </w:r>
    </w:p>
    <w:p>
      <w:pPr>
        <w:pStyle w:val="Heading1"/>
      </w:pPr>
      <w:r>
        <w:t xml:space="preserve">Key Metrics</w:t>
      </w:r>
    </w:p>
    <w:p>
      <w:pPr>
        <w:spacing w:after="200"/>
      </w:pPr>
      <w:r>
        <w:t xml:space="preserve">For detailed breakdown, see {{REF:Regional Performance}} below.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Growth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North America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$2,450,000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2E7D32"/>
              </w:rPr>
              <w:t xml:space="preserve">+12.5%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Europe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$1,890,000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2E7D32"/>
              </w:rPr>
              <w:t xml:space="preserve">+8.3%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Asia Pacific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$980,000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C62828"/>
              </w:rPr>
              <w:t xml:space="preserve">-2.1%</w:t>
            </w:r>
          </w:p>
        </w:tc>
      </w:tr>
    </w:tbl>
    <w:p>
      <w:pPr>
        <w:pStyle w:val="Heading1"/>
        <w:spacing w:before="400"/>
      </w:pPr>
      <w:r>
        <w:t xml:space="preserve">Regional Performance</w:t>
      </w:r>
    </w:p>
    <w:p>
      <w:pPr>
        <w:spacing w:before="200"/>
      </w:pPr>
      <w:r>
        <w:t xml:space="preserve">Key highlights from each region:</w:t>
      </w:r>
    </w:p>
    <w:p>
      <w:pPr>
        <w:pStyle w:val="ListParagraph"/>
        <w:numPr>
          <w:ilvl w:val="0"/>
          <w:numId w:val="2"/>
        </w:numPr>
      </w:pPr>
      <w:r>
        <w:t xml:space="preserve">North America exceeded targets by 15%</w:t>
      </w:r>
    </w:p>
    <w:p>
      <w:pPr>
        <w:pStyle w:val="ListParagraph"/>
        <w:numPr>
          <w:ilvl w:val="0"/>
          <w:numId w:val="2"/>
        </w:numPr>
      </w:pPr>
      <w:r>
        <w:t xml:space="preserve">Europe maintained steady growth despite currency fluctuations</w:t>
      </w:r>
    </w:p>
    <w:p>
      <w:pPr>
        <w:pStyle w:val="ListParagraph"/>
        <w:numPr>
          <w:ilvl w:val="0"/>
          <w:numId w:val="2"/>
        </w:numPr>
      </w:pPr>
      <w:r>
        <w:t xml:space="preserve">Asia Pacific faced challenges due to supply chain issues</w:t>
      </w:r>
    </w:p>
    <w:p>
      <w:pPr>
        <w:pStyle w:val="Heading1"/>
        <w:spacing w:before="400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Review regional strategies with leadership team</w:t>
      </w:r>
    </w:p>
    <w:p>
      <w:pPr>
        <w:pStyle w:val="ListParagraph"/>
        <w:numPr>
          <w:ilvl w:val="0"/>
          <w:numId w:val="3"/>
        </w:numPr>
      </w:pPr>
      <w:r>
        <w:t xml:space="preserve">Address supply chain bottlenecks in APAC region</w:t>
      </w:r>
    </w:p>
    <w:p>
      <w:pPr>
        <w:pStyle w:val="ListParagraph"/>
        <w:numPr>
          <w:ilvl w:val="0"/>
          <w:numId w:val="3"/>
        </w:numPr>
      </w:pPr>
      <w:r>
        <w:t xml:space="preserve">Expand marketing efforts in emerging markets</w:t>
      </w:r>
    </w:p>
    <w:p>
      <w:pPr>
        <w:spacing w:before="300"/>
      </w:pPr>
      <w:r>
        <w:t xml:space="preserve">Additional context available in {{REF:Conclsion}} section.</w:t>
      </w:r>
    </w:p>
    <w:p>
      <w:pPr>
        <w:pStyle w:val="Heading1"/>
        <w:spacing w:before="400"/>
      </w:pPr>
      <w:r>
        <w:t xml:space="preserve">Conclusion</w:t>
      </w:r>
    </w:p>
    <w:p>
      <w:pPr>
        <w:spacing w:after="200"/>
      </w:pPr>
      <w:r>
        <w:t xml:space="preserve">Overall, Q3 2024 demonstrates our continued market strength. We remain committed to delivering value to our stakeholders.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TEST DOCUMENT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2025-12-04T08:44:05.924Z</dcterms:created>
  <dcterms:modified xsi:type="dcterms:W3CDTF">2025-12-04T08:44:05.924Z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